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B1" w:rsidRDefault="008A421F" w:rsidP="004277B1">
      <w:pPr>
        <w:pStyle w:val="Title"/>
      </w:pPr>
      <w:r>
        <w:t xml:space="preserve">Carlsbad </w:t>
      </w:r>
      <w:r w:rsidR="002111CD">
        <w:t xml:space="preserve">Housing Report </w:t>
      </w:r>
      <w:r w:rsidR="00B04FAE">
        <w:t>December</w:t>
      </w:r>
      <w:r w:rsidR="009B2094">
        <w:t xml:space="preserve"> 2017</w:t>
      </w:r>
    </w:p>
    <w:p w:rsidR="004B6181" w:rsidRDefault="004B6181" w:rsidP="00F63300">
      <w:pPr>
        <w:rPr>
          <w:b/>
          <w:bCs/>
        </w:rPr>
      </w:pPr>
    </w:p>
    <w:p w:rsidR="004B6181" w:rsidRDefault="004B6181" w:rsidP="00F63300">
      <w:pPr>
        <w:rPr>
          <w:b/>
          <w:bCs/>
        </w:rPr>
      </w:pPr>
    </w:p>
    <w:p w:rsidR="004B6181" w:rsidRDefault="004B6181" w:rsidP="00F63300">
      <w:pPr>
        <w:rPr>
          <w:b/>
          <w:bCs/>
        </w:rPr>
      </w:pPr>
      <w:r>
        <w:rPr>
          <w:b/>
          <w:bCs/>
          <w:noProof/>
        </w:rPr>
        <w:drawing>
          <wp:inline distT="0" distB="0" distL="0" distR="0">
            <wp:extent cx="6096000" cy="34349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er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0" cy="3434953"/>
                    </a:xfrm>
                    <a:prstGeom prst="rect">
                      <a:avLst/>
                    </a:prstGeom>
                  </pic:spPr>
                </pic:pic>
              </a:graphicData>
            </a:graphic>
          </wp:inline>
        </w:drawing>
      </w:r>
    </w:p>
    <w:p w:rsidR="00F63300" w:rsidRDefault="00F63300" w:rsidP="00F63300">
      <w:pPr>
        <w:rPr>
          <w:b/>
          <w:bCs/>
        </w:rPr>
      </w:pPr>
    </w:p>
    <w:p w:rsidR="00F63300" w:rsidRPr="004B6181" w:rsidRDefault="00F63300" w:rsidP="00F63300">
      <w:pPr>
        <w:rPr>
          <w:u w:val="single"/>
        </w:rPr>
      </w:pPr>
      <w:r w:rsidRPr="004B6181">
        <w:rPr>
          <w:bCs/>
          <w:u w:val="single"/>
        </w:rPr>
        <w:t xml:space="preserve">Table of </w:t>
      </w:r>
      <w:r w:rsidR="00677F83" w:rsidRPr="004B6181">
        <w:rPr>
          <w:bCs/>
          <w:u w:val="single"/>
        </w:rPr>
        <w:t>Contents</w:t>
      </w:r>
    </w:p>
    <w:p w:rsidR="00F63300" w:rsidRPr="000971BD" w:rsidRDefault="00F63300" w:rsidP="00F63300">
      <w:r w:rsidRPr="000971BD">
        <w:rPr>
          <w:bCs/>
        </w:rPr>
        <w:t>I. Introduction..........................................................................</w:t>
      </w:r>
      <w:r w:rsidR="00677F83">
        <w:rPr>
          <w:bCs/>
        </w:rPr>
        <w:t xml:space="preserve">................................................................ </w:t>
      </w:r>
      <w:r w:rsidR="004B6181">
        <w:rPr>
          <w:bCs/>
        </w:rPr>
        <w:t>2</w:t>
      </w:r>
      <w:r w:rsidRPr="000971BD">
        <w:rPr>
          <w:bCs/>
        </w:rPr>
        <w:t xml:space="preserve"> </w:t>
      </w:r>
    </w:p>
    <w:p w:rsidR="00F63300" w:rsidRPr="000971BD" w:rsidRDefault="00F63300" w:rsidP="00F63300">
      <w:r w:rsidRPr="000971BD">
        <w:rPr>
          <w:bCs/>
        </w:rPr>
        <w:t xml:space="preserve">II. </w:t>
      </w:r>
      <w:r w:rsidR="000971BD" w:rsidRPr="000971BD">
        <w:rPr>
          <w:bCs/>
        </w:rPr>
        <w:t>Housing Availability and Affordability</w:t>
      </w:r>
      <w:r w:rsidRPr="000971BD">
        <w:rPr>
          <w:bCs/>
        </w:rPr>
        <w:t xml:space="preserve"> ...................................................................</w:t>
      </w:r>
      <w:r w:rsidR="00677F83">
        <w:rPr>
          <w:bCs/>
        </w:rPr>
        <w:t>............................</w:t>
      </w:r>
      <w:r w:rsidR="004B6181">
        <w:rPr>
          <w:bCs/>
        </w:rPr>
        <w:t>.. 4</w:t>
      </w:r>
      <w:r w:rsidRPr="000971BD">
        <w:rPr>
          <w:bCs/>
        </w:rPr>
        <w:t xml:space="preserve"> </w:t>
      </w:r>
    </w:p>
    <w:p w:rsidR="00F63300" w:rsidRPr="000971BD" w:rsidRDefault="00F63300" w:rsidP="00F63300">
      <w:r w:rsidRPr="000971BD">
        <w:rPr>
          <w:bCs/>
        </w:rPr>
        <w:t xml:space="preserve">III. </w:t>
      </w:r>
      <w:r w:rsidR="000971BD" w:rsidRPr="000971BD">
        <w:rPr>
          <w:bCs/>
        </w:rPr>
        <w:t>Employer Housing Survey</w:t>
      </w:r>
      <w:r w:rsidRPr="000971BD">
        <w:rPr>
          <w:bCs/>
        </w:rPr>
        <w:t xml:space="preserve"> ..........................................................................</w:t>
      </w:r>
      <w:r w:rsidR="00522305">
        <w:rPr>
          <w:bCs/>
        </w:rPr>
        <w:t>........................................</w:t>
      </w:r>
      <w:r w:rsidR="004B6181">
        <w:rPr>
          <w:bCs/>
        </w:rPr>
        <w:t xml:space="preserve"> 8</w:t>
      </w:r>
      <w:r w:rsidRPr="000971BD">
        <w:rPr>
          <w:bCs/>
        </w:rPr>
        <w:t xml:space="preserve"> </w:t>
      </w:r>
    </w:p>
    <w:p w:rsidR="00F63300" w:rsidRPr="000971BD" w:rsidRDefault="00677F83" w:rsidP="00F63300">
      <w:r>
        <w:t>IV</w:t>
      </w:r>
      <w:r w:rsidR="00F63300" w:rsidRPr="000971BD">
        <w:t xml:space="preserve">. </w:t>
      </w:r>
      <w:r w:rsidR="000971BD">
        <w:t xml:space="preserve">Future </w:t>
      </w:r>
      <w:r>
        <w:t>Development</w:t>
      </w:r>
      <w:r w:rsidR="00F63300" w:rsidRPr="000971BD">
        <w:t xml:space="preserve"> ..................................................................................</w:t>
      </w:r>
      <w:r w:rsidR="00522305">
        <w:t>....................................... 1</w:t>
      </w:r>
      <w:r w:rsidR="004B6181">
        <w:t>4</w:t>
      </w:r>
      <w:r w:rsidR="00F63300" w:rsidRPr="000971BD">
        <w:t xml:space="preserve"> </w:t>
      </w:r>
    </w:p>
    <w:p w:rsidR="00F63300" w:rsidRPr="004B6181" w:rsidRDefault="00677F83" w:rsidP="00F63300">
      <w:r>
        <w:t>V</w:t>
      </w:r>
      <w:r w:rsidRPr="000971BD">
        <w:t xml:space="preserve">. </w:t>
      </w:r>
      <w:r>
        <w:t>Conclusion</w:t>
      </w:r>
      <w:r w:rsidRPr="000971BD">
        <w:t xml:space="preserve"> ..................................................................................</w:t>
      </w:r>
      <w:r w:rsidR="00522305">
        <w:t>........................................................</w:t>
      </w:r>
      <w:r w:rsidR="004B6181">
        <w:t xml:space="preserve"> 17</w:t>
      </w:r>
    </w:p>
    <w:p w:rsidR="00677F83" w:rsidRDefault="00677F83" w:rsidP="00F63300"/>
    <w:p w:rsidR="004B6181" w:rsidRDefault="004B6181" w:rsidP="00F63300"/>
    <w:p w:rsidR="004B6181" w:rsidRDefault="004B6181" w:rsidP="00F63300"/>
    <w:p w:rsidR="004B6181" w:rsidRDefault="004B6181" w:rsidP="00F63300"/>
    <w:p w:rsidR="004B6181" w:rsidRDefault="004B6181" w:rsidP="00F63300"/>
    <w:p w:rsidR="008B22C3" w:rsidRPr="00F63300" w:rsidRDefault="008B22C3" w:rsidP="00F63300">
      <w:pPr>
        <w:pStyle w:val="ListParagraph"/>
        <w:numPr>
          <w:ilvl w:val="0"/>
          <w:numId w:val="3"/>
        </w:numPr>
        <w:rPr>
          <w:b/>
          <w:i/>
        </w:rPr>
      </w:pPr>
      <w:r w:rsidRPr="00F63300">
        <w:rPr>
          <w:b/>
          <w:i/>
        </w:rPr>
        <w:lastRenderedPageBreak/>
        <w:t xml:space="preserve">Introduction </w:t>
      </w:r>
    </w:p>
    <w:p w:rsidR="00815C28" w:rsidRDefault="00815C28" w:rsidP="00815C28">
      <w:pPr>
        <w:pStyle w:val="ListParagraph"/>
        <w:rPr>
          <w:b/>
          <w:i/>
        </w:rPr>
      </w:pPr>
    </w:p>
    <w:p w:rsidR="0018742E" w:rsidRDefault="008B22C3" w:rsidP="008B22C3">
      <w:pPr>
        <w:pStyle w:val="ListParagraph"/>
        <w:ind w:left="0"/>
      </w:pPr>
      <w:r>
        <w:t xml:space="preserve">Carlsbad and Eddy County are experiencing a housing shortage do to an influx of labor working in the oil and gas fields coupled with a diverse and thriving </w:t>
      </w:r>
      <w:r w:rsidRPr="00F63300">
        <w:t xml:space="preserve">economy. During </w:t>
      </w:r>
      <w:r w:rsidR="00227C5D" w:rsidRPr="00F63300">
        <w:t>the</w:t>
      </w:r>
      <w:r w:rsidRPr="00F63300">
        <w:t xml:space="preserve"> current upswing in oil and gas that began in early 2017</w:t>
      </w:r>
      <w:r w:rsidR="00227C5D" w:rsidRPr="00F63300">
        <w:t>,</w:t>
      </w:r>
      <w:r w:rsidRPr="00F63300">
        <w:t xml:space="preserve"> we </w:t>
      </w:r>
      <w:r w:rsidR="00486DDC">
        <w:t>began</w:t>
      </w:r>
      <w:r w:rsidR="00227C5D" w:rsidRPr="00F63300">
        <w:t xml:space="preserve"> seeing the same markers we saw </w:t>
      </w:r>
      <w:r w:rsidR="00F75B1E" w:rsidRPr="00F63300">
        <w:t xml:space="preserve">from </w:t>
      </w:r>
      <w:r w:rsidR="00227C5D" w:rsidRPr="00F63300">
        <w:t>2012-201</w:t>
      </w:r>
      <w:r w:rsidR="00F75B1E" w:rsidRPr="00F63300">
        <w:t>5</w:t>
      </w:r>
      <w:r w:rsidR="00227C5D" w:rsidRPr="00F63300">
        <w:t xml:space="preserve">, natural resources </w:t>
      </w:r>
      <w:r w:rsidR="00227C5D">
        <w:t xml:space="preserve">employment in the county went up, </w:t>
      </w:r>
      <w:r w:rsidR="0018742E">
        <w:t xml:space="preserve">residential occupancy rate began to rise, </w:t>
      </w:r>
      <w:r w:rsidR="00227C5D">
        <w:t>unemployment rates began to fall, and hotel and housing prices increased.</w:t>
      </w:r>
      <w:r>
        <w:t xml:space="preserve"> </w:t>
      </w:r>
      <w:r w:rsidR="00367BF2">
        <w:t xml:space="preserve">This has created a surge in our population with the greater Carlsbad area population sitting at around 63,500, and people are living </w:t>
      </w:r>
      <w:r w:rsidR="000667D8">
        <w:t>wherever</w:t>
      </w:r>
      <w:r w:rsidR="00367BF2">
        <w:t xml:space="preserve"> they can find availability</w:t>
      </w:r>
      <w:r w:rsidR="00C63DE6">
        <w:t xml:space="preserve">. </w:t>
      </w:r>
      <w:proofErr w:type="gramStart"/>
      <w:r w:rsidR="0018742E">
        <w:t>According to the 2015 housing study, there are three main groups not being well served by the existing housing 1) households where the primary wage earner makes $10 per hour and below, 2) the general workforce earning between $10 and $16 an hour, and 3) households who can afford the market area prices but can’t find anything suitable to rent or b</w:t>
      </w:r>
      <w:r w:rsidR="00CD5BDA">
        <w:t>uy.</w:t>
      </w:r>
      <w:proofErr w:type="gramEnd"/>
      <w:r w:rsidR="00CD5BDA">
        <w:t xml:space="preserve"> In addition, there are workers</w:t>
      </w:r>
      <w:r w:rsidR="0018742E">
        <w:t>, primarily in the oil and gas related industries, who live in Eddy County during the week and return home on the weekends. These workers do not relocate their families because of the lack of housing.</w:t>
      </w:r>
      <w:r w:rsidR="00486DDC">
        <w:t xml:space="preserve"> Eddy County </w:t>
      </w:r>
      <w:proofErr w:type="gramStart"/>
      <w:r w:rsidR="00486DDC">
        <w:t>is situated</w:t>
      </w:r>
      <w:proofErr w:type="gramEnd"/>
      <w:r w:rsidR="00486DDC">
        <w:t xml:space="preserve"> in the middle of a very large oil and gas play with unprecedented opportunity due to the major stratification of the layers. </w:t>
      </w:r>
    </w:p>
    <w:p w:rsidR="00227C5D" w:rsidRDefault="00227C5D" w:rsidP="008B22C3">
      <w:pPr>
        <w:pStyle w:val="ListParagraph"/>
        <w:ind w:left="0"/>
      </w:pPr>
    </w:p>
    <w:p w:rsidR="00F63300" w:rsidRDefault="00F63300" w:rsidP="008B22C3">
      <w:pPr>
        <w:pStyle w:val="ListParagraph"/>
        <w:ind w:left="0"/>
      </w:pPr>
      <w:r>
        <w:rPr>
          <w:noProof/>
        </w:rPr>
        <w:drawing>
          <wp:inline distT="0" distB="0" distL="0" distR="0">
            <wp:extent cx="4690533" cy="44002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d Permian Map from Murchinson.jpg"/>
                    <pic:cNvPicPr/>
                  </pic:nvPicPr>
                  <pic:blipFill>
                    <a:blip r:embed="rId9">
                      <a:extLst>
                        <a:ext uri="{28A0092B-C50C-407E-A947-70E740481C1C}">
                          <a14:useLocalDpi xmlns:a14="http://schemas.microsoft.com/office/drawing/2010/main" val="0"/>
                        </a:ext>
                      </a:extLst>
                    </a:blip>
                    <a:stretch>
                      <a:fillRect/>
                    </a:stretch>
                  </pic:blipFill>
                  <pic:spPr>
                    <a:xfrm>
                      <a:off x="0" y="0"/>
                      <a:ext cx="4691854" cy="4401449"/>
                    </a:xfrm>
                    <a:prstGeom prst="rect">
                      <a:avLst/>
                    </a:prstGeom>
                  </pic:spPr>
                </pic:pic>
              </a:graphicData>
            </a:graphic>
          </wp:inline>
        </w:drawing>
      </w:r>
    </w:p>
    <w:p w:rsidR="00F63300" w:rsidRPr="000971BD" w:rsidRDefault="00F63300" w:rsidP="008B22C3">
      <w:pPr>
        <w:pStyle w:val="ListParagraph"/>
        <w:ind w:left="0"/>
        <w:rPr>
          <w:b/>
          <w:sz w:val="20"/>
        </w:rPr>
      </w:pPr>
      <w:r w:rsidRPr="000971BD">
        <w:rPr>
          <w:b/>
          <w:sz w:val="20"/>
        </w:rPr>
        <w:t xml:space="preserve">Location of Carlsbad within Permian </w:t>
      </w:r>
      <w:r w:rsidR="00486DDC" w:rsidRPr="000971BD">
        <w:rPr>
          <w:b/>
          <w:sz w:val="20"/>
        </w:rPr>
        <w:t>Energy Play</w:t>
      </w:r>
      <w:r w:rsidR="00486DDC" w:rsidRPr="000971BD">
        <w:rPr>
          <w:b/>
          <w:sz w:val="20"/>
        </w:rPr>
        <w:tab/>
      </w:r>
      <w:r w:rsidR="00486DDC" w:rsidRPr="000971BD">
        <w:rPr>
          <w:b/>
          <w:sz w:val="20"/>
        </w:rPr>
        <w:tab/>
      </w:r>
      <w:r w:rsidRPr="000971BD">
        <w:rPr>
          <w:b/>
          <w:sz w:val="20"/>
        </w:rPr>
        <w:t>(Graphic: Murchison Oil and Gas)</w:t>
      </w:r>
    </w:p>
    <w:p w:rsidR="000971BD" w:rsidRDefault="000971BD" w:rsidP="008B22C3">
      <w:pPr>
        <w:pStyle w:val="ListParagraph"/>
        <w:ind w:left="0"/>
      </w:pPr>
    </w:p>
    <w:p w:rsidR="00486DDC" w:rsidRDefault="00227C5D" w:rsidP="008B22C3">
      <w:pPr>
        <w:pStyle w:val="ListParagraph"/>
        <w:ind w:left="0"/>
      </w:pPr>
      <w:r>
        <w:lastRenderedPageBreak/>
        <w:t xml:space="preserve">With major oil and gas companies taking advantage of the resources in the Delaware Basin, many have indicated </w:t>
      </w:r>
      <w:r w:rsidR="002D1371">
        <w:t>Eddy County’s future has a</w:t>
      </w:r>
      <w:r>
        <w:t xml:space="preserve"> high probability </w:t>
      </w:r>
      <w:r w:rsidR="002D1371">
        <w:t xml:space="preserve">of turning into a Midland/Odessa metropolis rather than continuing as a small town. </w:t>
      </w:r>
      <w:r w:rsidRPr="00227C5D">
        <w:t>Some of the city's recent oil and gas projects include a natural gas plant con</w:t>
      </w:r>
      <w:r w:rsidR="002D1371">
        <w:t xml:space="preserve">nected to Texas-based companies - Summit Midstream Partners LP, </w:t>
      </w:r>
      <w:r w:rsidRPr="00227C5D">
        <w:t>XTO Energy Inc., a subsidiary of Exxon Mobil Corp. which is connected to Summit's new natural gas gathering and processing system in</w:t>
      </w:r>
      <w:r w:rsidR="002D1371">
        <w:t xml:space="preserve"> the Permian. The Current-Argus</w:t>
      </w:r>
      <w:r w:rsidRPr="00227C5D">
        <w:t xml:space="preserve"> reported in September</w:t>
      </w:r>
      <w:r w:rsidR="0018742E">
        <w:t xml:space="preserve"> 2017</w:t>
      </w:r>
      <w:r w:rsidRPr="00227C5D">
        <w:t xml:space="preserve"> that Summit is anticipating up to $500 million in future investments in the Northern Delaware Basin.</w:t>
      </w:r>
      <w:r w:rsidR="003359EA">
        <w:t xml:space="preserve"> </w:t>
      </w:r>
      <w:r w:rsidR="00486DDC">
        <w:rPr>
          <w:noProof/>
        </w:rPr>
        <w:drawing>
          <wp:inline distT="0" distB="0" distL="0" distR="0">
            <wp:extent cx="6163731" cy="46228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ss Section of Delaware vs Permi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5785" cy="4624341"/>
                    </a:xfrm>
                    <a:prstGeom prst="rect">
                      <a:avLst/>
                    </a:prstGeom>
                  </pic:spPr>
                </pic:pic>
              </a:graphicData>
            </a:graphic>
          </wp:inline>
        </w:drawing>
      </w:r>
    </w:p>
    <w:p w:rsidR="00F63300" w:rsidRPr="000971BD" w:rsidRDefault="00F63300" w:rsidP="008B22C3">
      <w:pPr>
        <w:pStyle w:val="ListParagraph"/>
        <w:ind w:left="0"/>
        <w:rPr>
          <w:b/>
          <w:sz w:val="20"/>
        </w:rPr>
      </w:pPr>
      <w:r w:rsidRPr="000971BD">
        <w:rPr>
          <w:b/>
          <w:sz w:val="20"/>
        </w:rPr>
        <w:t>Cross Section of Delaware vs. Permian</w:t>
      </w:r>
      <w:r w:rsidR="00486DDC" w:rsidRPr="000971BD">
        <w:rPr>
          <w:b/>
          <w:sz w:val="20"/>
        </w:rPr>
        <w:tab/>
      </w:r>
      <w:r w:rsidR="00486DDC" w:rsidRPr="000971BD">
        <w:rPr>
          <w:b/>
          <w:sz w:val="20"/>
        </w:rPr>
        <w:tab/>
      </w:r>
      <w:r w:rsidR="00486DDC" w:rsidRPr="000971BD">
        <w:rPr>
          <w:b/>
          <w:sz w:val="20"/>
        </w:rPr>
        <w:tab/>
      </w:r>
      <w:r w:rsidR="00486DDC" w:rsidRPr="000971BD">
        <w:rPr>
          <w:b/>
          <w:sz w:val="20"/>
        </w:rPr>
        <w:tab/>
      </w:r>
      <w:r w:rsidR="00486DDC" w:rsidRPr="000971BD">
        <w:rPr>
          <w:b/>
          <w:sz w:val="20"/>
        </w:rPr>
        <w:tab/>
      </w:r>
      <w:r w:rsidR="00486DDC" w:rsidRPr="000971BD">
        <w:rPr>
          <w:b/>
          <w:sz w:val="20"/>
        </w:rPr>
        <w:tab/>
        <w:t>(Graphic: Matador Services)</w:t>
      </w:r>
    </w:p>
    <w:p w:rsidR="000971BD" w:rsidRDefault="000971BD" w:rsidP="008B22C3">
      <w:pPr>
        <w:pStyle w:val="ListParagraph"/>
        <w:ind w:left="0"/>
        <w:rPr>
          <w:b/>
        </w:rPr>
      </w:pPr>
    </w:p>
    <w:p w:rsidR="000971BD" w:rsidRDefault="000971BD" w:rsidP="000971BD">
      <w:pPr>
        <w:pStyle w:val="ListParagraph"/>
        <w:ind w:left="0"/>
      </w:pPr>
      <w:r>
        <w:t>Even prior to the rise in oil and gas, Carlsbad has relied on many other industries to maintain strong economic growth in the area. Two potash mines have been long standing employers of the community, a strong nuclear industry with the Department of Energy Nuclear Waste Repository (WIPP) facility employs over 1200 people, a growing manufacturing industry, and has always been able to rely on tourism thanks to the natural formation of the Carlsbad Caverns, which receives more than 500,000 visitors annually. The expectation is that the industries are here to stay and will need housing and services for the additional employees they intend to hire.</w:t>
      </w:r>
    </w:p>
    <w:p w:rsidR="000971BD" w:rsidRPr="00486DDC" w:rsidRDefault="000971BD" w:rsidP="008B22C3">
      <w:pPr>
        <w:pStyle w:val="ListParagraph"/>
        <w:ind w:left="0"/>
        <w:rPr>
          <w:b/>
        </w:rPr>
      </w:pPr>
    </w:p>
    <w:p w:rsidR="008B22C3" w:rsidRPr="008B22C3" w:rsidRDefault="008B22C3" w:rsidP="008B22C3">
      <w:pPr>
        <w:pStyle w:val="ListParagraph"/>
        <w:rPr>
          <w:b/>
          <w:i/>
        </w:rPr>
      </w:pPr>
    </w:p>
    <w:p w:rsidR="00A223CA" w:rsidRPr="00A223CA" w:rsidRDefault="00A223CA" w:rsidP="00A223CA">
      <w:pPr>
        <w:pStyle w:val="ListParagraph"/>
        <w:numPr>
          <w:ilvl w:val="0"/>
          <w:numId w:val="3"/>
        </w:numPr>
        <w:rPr>
          <w:b/>
          <w:i/>
        </w:rPr>
      </w:pPr>
      <w:r w:rsidRPr="00A223CA">
        <w:rPr>
          <w:b/>
          <w:i/>
        </w:rPr>
        <w:lastRenderedPageBreak/>
        <w:t xml:space="preserve">Housing Availability and Affordability </w:t>
      </w:r>
    </w:p>
    <w:p w:rsidR="00A223CA" w:rsidRDefault="00A223CA" w:rsidP="00A223CA">
      <w:r>
        <w:t xml:space="preserve">The table below displays the occupancy rates of apartments in Carlsbad over the past year. As of September, the rate of occupancy for all apartments in the area sits at 100%. Many complexes have begun a waiting list for </w:t>
      </w:r>
      <w:r w:rsidRPr="009B2094">
        <w:t>people looking for a place to live and all combined there were over 125 people waiting for apartments.</w:t>
      </w:r>
      <w:r>
        <w:t xml:space="preserve"> </w:t>
      </w:r>
    </w:p>
    <w:p w:rsidR="00A223CA" w:rsidRPr="00A223CA" w:rsidRDefault="00A223CA" w:rsidP="00A223CA">
      <w:pPr>
        <w:rPr>
          <w:b/>
        </w:rPr>
      </w:pPr>
      <w:r w:rsidRPr="00A223CA">
        <w:rPr>
          <w:b/>
        </w:rPr>
        <w:t>Table 1. Occupancy Rates for Apartments in Carlsbad 2017</w:t>
      </w:r>
    </w:p>
    <w:tbl>
      <w:tblPr>
        <w:tblW w:w="9900" w:type="dxa"/>
        <w:tblLook w:val="04A0" w:firstRow="1" w:lastRow="0" w:firstColumn="1" w:lastColumn="0" w:noHBand="0" w:noVBand="1"/>
      </w:tblPr>
      <w:tblGrid>
        <w:gridCol w:w="440"/>
        <w:gridCol w:w="2680"/>
        <w:gridCol w:w="980"/>
        <w:gridCol w:w="980"/>
        <w:gridCol w:w="980"/>
        <w:gridCol w:w="980"/>
        <w:gridCol w:w="980"/>
        <w:gridCol w:w="960"/>
        <w:gridCol w:w="960"/>
      </w:tblGrid>
      <w:tr w:rsidR="003401DC" w:rsidRPr="006839A6" w:rsidTr="003401DC">
        <w:trPr>
          <w:trHeight w:val="288"/>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 </w:t>
            </w:r>
          </w:p>
        </w:tc>
        <w:tc>
          <w:tcPr>
            <w:tcW w:w="2680" w:type="dxa"/>
            <w:tcBorders>
              <w:top w:val="single" w:sz="8" w:space="0" w:color="auto"/>
              <w:left w:val="single" w:sz="8" w:space="0" w:color="auto"/>
              <w:bottom w:val="single" w:sz="4" w:space="0" w:color="auto"/>
              <w:right w:val="single" w:sz="4" w:space="0" w:color="auto"/>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rPr>
            </w:pPr>
          </w:p>
        </w:tc>
        <w:tc>
          <w:tcPr>
            <w:tcW w:w="980" w:type="dxa"/>
            <w:tcBorders>
              <w:top w:val="single" w:sz="8" w:space="0" w:color="auto"/>
              <w:left w:val="nil"/>
              <w:bottom w:val="single" w:sz="4" w:space="0" w:color="auto"/>
              <w:right w:val="nil"/>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rPr>
            </w:pPr>
          </w:p>
        </w:tc>
        <w:tc>
          <w:tcPr>
            <w:tcW w:w="5840" w:type="dxa"/>
            <w:gridSpan w:val="6"/>
            <w:tcBorders>
              <w:top w:val="single" w:sz="8" w:space="0" w:color="auto"/>
              <w:left w:val="nil"/>
              <w:bottom w:val="single" w:sz="4" w:space="0" w:color="auto"/>
              <w:right w:val="single" w:sz="8" w:space="0" w:color="000000"/>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r w:rsidRPr="006839A6">
              <w:rPr>
                <w:rFonts w:ascii="Calibri" w:eastAsia="Times New Roman" w:hAnsi="Calibri" w:cs="Calibri"/>
                <w:b/>
                <w:bCs/>
              </w:rPr>
              <w:t>2017</w:t>
            </w:r>
          </w:p>
        </w:tc>
      </w:tr>
      <w:tr w:rsidR="003401DC" w:rsidRPr="006839A6" w:rsidTr="003401DC">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 </w:t>
            </w:r>
          </w:p>
        </w:tc>
        <w:tc>
          <w:tcPr>
            <w:tcW w:w="2680" w:type="dxa"/>
            <w:tcBorders>
              <w:top w:val="nil"/>
              <w:left w:val="single" w:sz="8" w:space="0" w:color="auto"/>
              <w:bottom w:val="single" w:sz="4" w:space="0" w:color="auto"/>
              <w:right w:val="single" w:sz="4" w:space="0" w:color="auto"/>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r w:rsidRPr="006839A6">
              <w:rPr>
                <w:rFonts w:ascii="Calibri" w:eastAsia="Times New Roman" w:hAnsi="Calibri" w:cs="Calibri"/>
                <w:b/>
                <w:bCs/>
              </w:rPr>
              <w:t>Apartment</w:t>
            </w:r>
          </w:p>
        </w:tc>
        <w:tc>
          <w:tcPr>
            <w:tcW w:w="980" w:type="dxa"/>
            <w:tcBorders>
              <w:top w:val="nil"/>
              <w:left w:val="nil"/>
              <w:bottom w:val="single" w:sz="4" w:space="0" w:color="auto"/>
              <w:right w:val="nil"/>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r w:rsidRPr="006839A6">
              <w:rPr>
                <w:rFonts w:ascii="Calibri" w:eastAsia="Times New Roman" w:hAnsi="Calibri" w:cs="Calibri"/>
                <w:b/>
                <w:bCs/>
              </w:rPr>
              <w:t># of Units</w:t>
            </w:r>
          </w:p>
        </w:tc>
        <w:tc>
          <w:tcPr>
            <w:tcW w:w="1960" w:type="dxa"/>
            <w:gridSpan w:val="2"/>
            <w:tcBorders>
              <w:top w:val="single" w:sz="4" w:space="0" w:color="auto"/>
              <w:left w:val="single" w:sz="8" w:space="0" w:color="auto"/>
              <w:bottom w:val="single" w:sz="4" w:space="0" w:color="auto"/>
              <w:right w:val="single" w:sz="8" w:space="0" w:color="000000"/>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proofErr w:type="spellStart"/>
            <w:r w:rsidRPr="006839A6">
              <w:rPr>
                <w:rFonts w:ascii="Calibri" w:eastAsia="Times New Roman" w:hAnsi="Calibri" w:cs="Calibri"/>
                <w:b/>
                <w:bCs/>
              </w:rPr>
              <w:t>sep</w:t>
            </w:r>
            <w:proofErr w:type="spellEnd"/>
          </w:p>
        </w:tc>
        <w:tc>
          <w:tcPr>
            <w:tcW w:w="1960" w:type="dxa"/>
            <w:gridSpan w:val="2"/>
            <w:tcBorders>
              <w:top w:val="single" w:sz="4" w:space="0" w:color="auto"/>
              <w:left w:val="nil"/>
              <w:bottom w:val="single" w:sz="4" w:space="0" w:color="auto"/>
              <w:right w:val="single" w:sz="8" w:space="0" w:color="000000"/>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r w:rsidRPr="006839A6">
              <w:rPr>
                <w:rFonts w:ascii="Calibri" w:eastAsia="Times New Roman" w:hAnsi="Calibri" w:cs="Calibri"/>
                <w:b/>
                <w:bCs/>
              </w:rPr>
              <w:t>may</w:t>
            </w:r>
          </w:p>
        </w:tc>
        <w:tc>
          <w:tcPr>
            <w:tcW w:w="1920" w:type="dxa"/>
            <w:gridSpan w:val="2"/>
            <w:tcBorders>
              <w:top w:val="single" w:sz="4" w:space="0" w:color="auto"/>
              <w:left w:val="nil"/>
              <w:bottom w:val="single" w:sz="4" w:space="0" w:color="auto"/>
              <w:right w:val="single" w:sz="8" w:space="0" w:color="000000"/>
            </w:tcBorders>
            <w:shd w:val="clear" w:color="auto" w:fill="000000" w:themeFill="text1"/>
            <w:noWrap/>
            <w:vAlign w:val="center"/>
            <w:hideMark/>
          </w:tcPr>
          <w:p w:rsidR="00A223CA" w:rsidRPr="006839A6" w:rsidRDefault="00A223CA" w:rsidP="003401DC">
            <w:pPr>
              <w:spacing w:after="0" w:line="240" w:lineRule="auto"/>
              <w:jc w:val="center"/>
              <w:rPr>
                <w:rFonts w:ascii="Calibri" w:eastAsia="Times New Roman" w:hAnsi="Calibri" w:cs="Calibri"/>
                <w:b/>
                <w:bCs/>
              </w:rPr>
            </w:pPr>
            <w:proofErr w:type="spellStart"/>
            <w:r w:rsidRPr="006839A6">
              <w:rPr>
                <w:rFonts w:ascii="Calibri" w:eastAsia="Times New Roman" w:hAnsi="Calibri" w:cs="Calibri"/>
                <w:b/>
                <w:bCs/>
              </w:rPr>
              <w:t>jan</w:t>
            </w:r>
            <w:proofErr w:type="spellEnd"/>
          </w:p>
        </w:tc>
      </w:tr>
      <w:tr w:rsidR="00B87BA0" w:rsidRPr="006839A6" w:rsidTr="00A223CA">
        <w:trPr>
          <w:trHeight w:val="324"/>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 </w:t>
            </w:r>
          </w:p>
        </w:tc>
        <w:tc>
          <w:tcPr>
            <w:tcW w:w="3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b/>
                <w:bCs/>
              </w:rPr>
            </w:pPr>
            <w:r w:rsidRPr="006839A6">
              <w:rPr>
                <w:rFonts w:ascii="Calibri" w:eastAsia="Times New Roman" w:hAnsi="Calibri" w:cs="Calibri"/>
                <w:b/>
                <w:bCs/>
              </w:rPr>
              <w:t> </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units available</w:t>
            </w:r>
          </w:p>
        </w:tc>
        <w:tc>
          <w:tcPr>
            <w:tcW w:w="980" w:type="dxa"/>
            <w:tcBorders>
              <w:top w:val="nil"/>
              <w:left w:val="nil"/>
              <w:bottom w:val="single" w:sz="8" w:space="0" w:color="auto"/>
              <w:right w:val="single" w:sz="8"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occupancy rate</w:t>
            </w:r>
          </w:p>
        </w:tc>
        <w:tc>
          <w:tcPr>
            <w:tcW w:w="980" w:type="dxa"/>
            <w:tcBorders>
              <w:top w:val="nil"/>
              <w:left w:val="nil"/>
              <w:bottom w:val="single" w:sz="8" w:space="0" w:color="auto"/>
              <w:right w:val="single" w:sz="4"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units available</w:t>
            </w:r>
          </w:p>
        </w:tc>
        <w:tc>
          <w:tcPr>
            <w:tcW w:w="980" w:type="dxa"/>
            <w:tcBorders>
              <w:top w:val="nil"/>
              <w:left w:val="nil"/>
              <w:bottom w:val="single" w:sz="8" w:space="0" w:color="auto"/>
              <w:right w:val="single" w:sz="8"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occupancy rate</w:t>
            </w:r>
          </w:p>
        </w:tc>
        <w:tc>
          <w:tcPr>
            <w:tcW w:w="960" w:type="dxa"/>
            <w:tcBorders>
              <w:top w:val="nil"/>
              <w:left w:val="nil"/>
              <w:bottom w:val="single" w:sz="8" w:space="0" w:color="auto"/>
              <w:right w:val="single" w:sz="4"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units available</w:t>
            </w:r>
          </w:p>
        </w:tc>
        <w:tc>
          <w:tcPr>
            <w:tcW w:w="960" w:type="dxa"/>
            <w:tcBorders>
              <w:top w:val="nil"/>
              <w:left w:val="nil"/>
              <w:bottom w:val="single" w:sz="8" w:space="0" w:color="auto"/>
              <w:right w:val="single" w:sz="8" w:space="0" w:color="auto"/>
            </w:tcBorders>
            <w:shd w:val="clear" w:color="auto" w:fill="auto"/>
            <w:vAlign w:val="center"/>
            <w:hideMark/>
          </w:tcPr>
          <w:p w:rsidR="00A223CA" w:rsidRPr="006839A6" w:rsidRDefault="00A223CA" w:rsidP="00A223CA">
            <w:pPr>
              <w:spacing w:after="0" w:line="240" w:lineRule="auto"/>
              <w:jc w:val="center"/>
              <w:rPr>
                <w:rFonts w:ascii="Calibri" w:eastAsia="Times New Roman" w:hAnsi="Calibri" w:cs="Calibri"/>
                <w:b/>
                <w:bCs/>
                <w:sz w:val="12"/>
                <w:szCs w:val="12"/>
              </w:rPr>
            </w:pPr>
            <w:r w:rsidRPr="006839A6">
              <w:rPr>
                <w:rFonts w:ascii="Calibri" w:eastAsia="Times New Roman" w:hAnsi="Calibri" w:cs="Calibri"/>
                <w:b/>
                <w:bCs/>
                <w:sz w:val="12"/>
                <w:szCs w:val="12"/>
              </w:rPr>
              <w:t>occupancy rate</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Avalon Apartments</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112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28</w:t>
            </w:r>
          </w:p>
        </w:tc>
        <w:tc>
          <w:tcPr>
            <w:tcW w:w="980" w:type="dxa"/>
            <w:tcBorders>
              <w:top w:val="nil"/>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75%</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73%</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2</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Colonial Hillcrest Apartments</w:t>
            </w:r>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76</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single" w:sz="4" w:space="0" w:color="auto"/>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3</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Church Street Apartments</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4</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81%</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4</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Cielo Vista Apartments</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5</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Copper Ridge</w:t>
            </w:r>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24</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6</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proofErr w:type="spellStart"/>
            <w:r w:rsidRPr="006839A6">
              <w:rPr>
                <w:rFonts w:ascii="Calibri" w:eastAsia="Times New Roman" w:hAnsi="Calibri" w:cs="Calibri"/>
              </w:rPr>
              <w:t>Copperstone</w:t>
            </w:r>
            <w:proofErr w:type="spellEnd"/>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347</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7</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98%</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37</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89%</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7</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La Posada</w:t>
            </w:r>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12</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80" w:type="dxa"/>
            <w:tcBorders>
              <w:top w:val="nil"/>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8</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Mesa Grande</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72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4</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9</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Sun Village</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10</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Northbrook</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11</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River Oak</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12</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Riverwood</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50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NA</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94%</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13</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SCS, LLC</w:t>
            </w:r>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14</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The Village</w:t>
            </w:r>
          </w:p>
        </w:tc>
        <w:tc>
          <w:tcPr>
            <w:tcW w:w="980" w:type="dxa"/>
            <w:tcBorders>
              <w:top w:val="nil"/>
              <w:left w:val="nil"/>
              <w:bottom w:val="single" w:sz="4"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144</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20</w:t>
            </w:r>
          </w:p>
        </w:tc>
        <w:tc>
          <w:tcPr>
            <w:tcW w:w="980" w:type="dxa"/>
            <w:tcBorders>
              <w:top w:val="single" w:sz="4" w:space="0" w:color="auto"/>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86%</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64</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56%</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15</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Tia Maria</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40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80" w:type="dxa"/>
            <w:tcBorders>
              <w:top w:val="single" w:sz="4" w:space="0" w:color="auto"/>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98%</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98%</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16</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Vista Del Rio</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112</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97%</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single" w:sz="4" w:space="0" w:color="auto"/>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single" w:sz="4" w:space="0" w:color="auto"/>
              <w:bottom w:val="single" w:sz="4" w:space="0" w:color="auto"/>
              <w:right w:val="nil"/>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17</w:t>
            </w:r>
          </w:p>
        </w:tc>
        <w:tc>
          <w:tcPr>
            <w:tcW w:w="2680" w:type="dxa"/>
            <w:tcBorders>
              <w:top w:val="nil"/>
              <w:left w:val="single" w:sz="8" w:space="0" w:color="auto"/>
              <w:bottom w:val="nil"/>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Vista Del Sol</w:t>
            </w:r>
          </w:p>
        </w:tc>
        <w:tc>
          <w:tcPr>
            <w:tcW w:w="980" w:type="dxa"/>
            <w:tcBorders>
              <w:top w:val="nil"/>
              <w:left w:val="nil"/>
              <w:bottom w:val="nil"/>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48</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98%</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288"/>
        </w:trPr>
        <w:tc>
          <w:tcPr>
            <w:tcW w:w="40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18</w:t>
            </w:r>
          </w:p>
        </w:tc>
        <w:tc>
          <w:tcPr>
            <w:tcW w:w="26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Mission Apartments</w:t>
            </w:r>
          </w:p>
        </w:tc>
        <w:tc>
          <w:tcPr>
            <w:tcW w:w="980" w:type="dxa"/>
            <w:tcBorders>
              <w:top w:val="single" w:sz="4" w:space="0" w:color="auto"/>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68</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 </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60" w:type="dxa"/>
            <w:tcBorders>
              <w:top w:val="nil"/>
              <w:left w:val="nil"/>
              <w:bottom w:val="single" w:sz="4"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r>
      <w:tr w:rsidR="00B87BA0" w:rsidRPr="006839A6" w:rsidTr="00A223CA">
        <w:trPr>
          <w:trHeight w:val="300"/>
        </w:trPr>
        <w:tc>
          <w:tcPr>
            <w:tcW w:w="400" w:type="dxa"/>
            <w:tcBorders>
              <w:top w:val="nil"/>
              <w:left w:val="nil"/>
              <w:bottom w:val="single" w:sz="8" w:space="0" w:color="auto"/>
              <w:right w:val="single" w:sz="8" w:space="0" w:color="auto"/>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rPr>
            </w:pPr>
            <w:r w:rsidRPr="006839A6">
              <w:rPr>
                <w:rFonts w:ascii="Calibri" w:eastAsia="Times New Roman" w:hAnsi="Calibri" w:cs="Calibri"/>
              </w:rPr>
              <w:t>19</w:t>
            </w:r>
          </w:p>
        </w:tc>
        <w:tc>
          <w:tcPr>
            <w:tcW w:w="2680" w:type="dxa"/>
            <w:tcBorders>
              <w:top w:val="nil"/>
              <w:left w:val="nil"/>
              <w:bottom w:val="single" w:sz="8" w:space="0" w:color="auto"/>
              <w:right w:val="single" w:sz="8" w:space="0" w:color="auto"/>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Yucca Flats</w:t>
            </w:r>
          </w:p>
        </w:tc>
        <w:tc>
          <w:tcPr>
            <w:tcW w:w="980" w:type="dxa"/>
            <w:tcBorders>
              <w:top w:val="nil"/>
              <w:left w:val="nil"/>
              <w:bottom w:val="single" w:sz="8" w:space="0" w:color="auto"/>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34</w:t>
            </w:r>
          </w:p>
        </w:tc>
        <w:tc>
          <w:tcPr>
            <w:tcW w:w="980" w:type="dxa"/>
            <w:tcBorders>
              <w:top w:val="nil"/>
              <w:left w:val="single" w:sz="8" w:space="0" w:color="auto"/>
              <w:bottom w:val="nil"/>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0</w:t>
            </w:r>
          </w:p>
        </w:tc>
        <w:tc>
          <w:tcPr>
            <w:tcW w:w="98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100%</w:t>
            </w:r>
          </w:p>
        </w:tc>
        <w:tc>
          <w:tcPr>
            <w:tcW w:w="980" w:type="dxa"/>
            <w:tcBorders>
              <w:top w:val="nil"/>
              <w:left w:val="nil"/>
              <w:bottom w:val="nil"/>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1</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97%</w:t>
            </w:r>
          </w:p>
        </w:tc>
        <w:tc>
          <w:tcPr>
            <w:tcW w:w="960" w:type="dxa"/>
            <w:tcBorders>
              <w:top w:val="nil"/>
              <w:left w:val="nil"/>
              <w:bottom w:val="single" w:sz="8" w:space="0" w:color="auto"/>
              <w:right w:val="single" w:sz="4"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2</w:t>
            </w:r>
          </w:p>
        </w:tc>
        <w:tc>
          <w:tcPr>
            <w:tcW w:w="960" w:type="dxa"/>
            <w:tcBorders>
              <w:top w:val="nil"/>
              <w:left w:val="nil"/>
              <w:bottom w:val="single" w:sz="4" w:space="0" w:color="auto"/>
              <w:right w:val="single" w:sz="8" w:space="0" w:color="auto"/>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r w:rsidRPr="006839A6">
              <w:rPr>
                <w:rFonts w:ascii="Calibri" w:eastAsia="Times New Roman" w:hAnsi="Calibri" w:cs="Calibri"/>
              </w:rPr>
              <w:t>94%</w:t>
            </w:r>
          </w:p>
        </w:tc>
      </w:tr>
      <w:tr w:rsidR="00B87BA0" w:rsidRPr="006839A6" w:rsidTr="00A223CA">
        <w:trPr>
          <w:trHeight w:val="300"/>
        </w:trPr>
        <w:tc>
          <w:tcPr>
            <w:tcW w:w="400" w:type="dxa"/>
            <w:tcBorders>
              <w:top w:val="nil"/>
              <w:left w:val="nil"/>
              <w:bottom w:val="nil"/>
              <w:right w:val="nil"/>
            </w:tcBorders>
            <w:shd w:val="clear" w:color="auto" w:fill="auto"/>
            <w:noWrap/>
            <w:vAlign w:val="bottom"/>
            <w:hideMark/>
          </w:tcPr>
          <w:p w:rsidR="00A223CA" w:rsidRPr="006839A6" w:rsidRDefault="00A223CA" w:rsidP="00A223CA">
            <w:pPr>
              <w:spacing w:after="0" w:line="240" w:lineRule="auto"/>
              <w:jc w:val="center"/>
              <w:rPr>
                <w:rFonts w:ascii="Calibri" w:eastAsia="Times New Roman" w:hAnsi="Calibri" w:cs="Calibri"/>
              </w:rPr>
            </w:pPr>
          </w:p>
        </w:tc>
        <w:tc>
          <w:tcPr>
            <w:tcW w:w="2680" w:type="dxa"/>
            <w:tcBorders>
              <w:top w:val="nil"/>
              <w:left w:val="single" w:sz="8" w:space="0" w:color="auto"/>
              <w:bottom w:val="single" w:sz="8" w:space="0" w:color="auto"/>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b/>
                <w:bCs/>
              </w:rPr>
            </w:pPr>
            <w:r w:rsidRPr="006839A6">
              <w:rPr>
                <w:rFonts w:ascii="Calibri" w:eastAsia="Times New Roman" w:hAnsi="Calibri" w:cs="Calibri"/>
                <w:b/>
                <w:bCs/>
              </w:rPr>
              <w:t>Total Apartment Units:</w:t>
            </w:r>
          </w:p>
        </w:tc>
        <w:tc>
          <w:tcPr>
            <w:tcW w:w="980" w:type="dxa"/>
            <w:tcBorders>
              <w:top w:val="nil"/>
              <w:left w:val="nil"/>
              <w:bottom w:val="single" w:sz="8" w:space="0" w:color="auto"/>
              <w:right w:val="single" w:sz="8" w:space="0" w:color="auto"/>
            </w:tcBorders>
            <w:shd w:val="clear" w:color="auto" w:fill="auto"/>
            <w:noWrap/>
            <w:vAlign w:val="bottom"/>
            <w:hideMark/>
          </w:tcPr>
          <w:p w:rsidR="00A223CA" w:rsidRPr="006839A6" w:rsidRDefault="00A223CA" w:rsidP="00A223CA">
            <w:pPr>
              <w:spacing w:after="0" w:line="240" w:lineRule="auto"/>
              <w:jc w:val="right"/>
              <w:rPr>
                <w:rFonts w:ascii="Calibri" w:eastAsia="Times New Roman" w:hAnsi="Calibri" w:cs="Calibri"/>
                <w:b/>
                <w:bCs/>
              </w:rPr>
            </w:pPr>
            <w:r w:rsidRPr="006839A6">
              <w:rPr>
                <w:rFonts w:ascii="Calibri" w:eastAsia="Times New Roman" w:hAnsi="Calibri" w:cs="Calibri"/>
                <w:b/>
                <w:bCs/>
              </w:rPr>
              <w:t>1228</w:t>
            </w:r>
          </w:p>
        </w:tc>
        <w:tc>
          <w:tcPr>
            <w:tcW w:w="980" w:type="dxa"/>
            <w:tcBorders>
              <w:top w:val="single" w:sz="8" w:space="0" w:color="auto"/>
              <w:left w:val="nil"/>
              <w:bottom w:val="nil"/>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b/>
                <w:bCs/>
              </w:rPr>
            </w:pPr>
            <w:r w:rsidRPr="006839A6">
              <w:rPr>
                <w:rFonts w:ascii="Calibri" w:eastAsia="Times New Roman" w:hAnsi="Calibri" w:cs="Calibri"/>
                <w:b/>
                <w:bCs/>
              </w:rPr>
              <w:t> </w:t>
            </w:r>
          </w:p>
        </w:tc>
        <w:tc>
          <w:tcPr>
            <w:tcW w:w="980" w:type="dxa"/>
            <w:tcBorders>
              <w:top w:val="nil"/>
              <w:left w:val="nil"/>
              <w:bottom w:val="nil"/>
              <w:right w:val="nil"/>
            </w:tcBorders>
            <w:shd w:val="clear" w:color="auto" w:fill="auto"/>
            <w:noWrap/>
            <w:vAlign w:val="bottom"/>
          </w:tcPr>
          <w:p w:rsidR="00A223CA" w:rsidRPr="006839A6" w:rsidRDefault="00A223CA" w:rsidP="00A223CA">
            <w:pPr>
              <w:spacing w:after="0" w:line="240" w:lineRule="auto"/>
              <w:jc w:val="right"/>
              <w:rPr>
                <w:rFonts w:ascii="Calibri" w:eastAsia="Times New Roman" w:hAnsi="Calibri" w:cs="Calibri"/>
                <w:b/>
                <w:bCs/>
              </w:rPr>
            </w:pPr>
          </w:p>
        </w:tc>
        <w:tc>
          <w:tcPr>
            <w:tcW w:w="980" w:type="dxa"/>
            <w:tcBorders>
              <w:top w:val="single" w:sz="8" w:space="0" w:color="auto"/>
              <w:left w:val="single" w:sz="8" w:space="0" w:color="auto"/>
              <w:bottom w:val="nil"/>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b/>
                <w:bCs/>
              </w:rPr>
            </w:pPr>
            <w:r w:rsidRPr="006839A6">
              <w:rPr>
                <w:rFonts w:ascii="Calibri" w:eastAsia="Times New Roman" w:hAnsi="Calibri" w:cs="Calibri"/>
                <w:b/>
                <w:bCs/>
              </w:rPr>
              <w:t> </w:t>
            </w:r>
          </w:p>
        </w:tc>
        <w:tc>
          <w:tcPr>
            <w:tcW w:w="980" w:type="dxa"/>
            <w:tcBorders>
              <w:top w:val="nil"/>
              <w:left w:val="nil"/>
              <w:bottom w:val="nil"/>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rsidR="00A223CA" w:rsidRPr="006839A6" w:rsidRDefault="00A223CA" w:rsidP="00A223CA">
            <w:pPr>
              <w:spacing w:after="0" w:line="240" w:lineRule="auto"/>
              <w:rPr>
                <w:rFonts w:ascii="Times New Roman" w:eastAsia="Times New Roman" w:hAnsi="Times New Roman" w:cs="Times New Roman"/>
                <w:sz w:val="20"/>
                <w:szCs w:val="20"/>
              </w:rPr>
            </w:pPr>
          </w:p>
        </w:tc>
        <w:tc>
          <w:tcPr>
            <w:tcW w:w="960" w:type="dxa"/>
            <w:tcBorders>
              <w:top w:val="single" w:sz="8" w:space="0" w:color="auto"/>
              <w:left w:val="nil"/>
              <w:bottom w:val="nil"/>
              <w:right w:val="nil"/>
            </w:tcBorders>
            <w:shd w:val="clear" w:color="auto" w:fill="auto"/>
            <w:noWrap/>
            <w:vAlign w:val="bottom"/>
            <w:hideMark/>
          </w:tcPr>
          <w:p w:rsidR="00A223CA" w:rsidRPr="006839A6" w:rsidRDefault="00A223CA" w:rsidP="00A223CA">
            <w:pPr>
              <w:spacing w:after="0" w:line="240" w:lineRule="auto"/>
              <w:rPr>
                <w:rFonts w:ascii="Calibri" w:eastAsia="Times New Roman" w:hAnsi="Calibri" w:cs="Calibri"/>
              </w:rPr>
            </w:pPr>
            <w:r w:rsidRPr="006839A6">
              <w:rPr>
                <w:rFonts w:ascii="Calibri" w:eastAsia="Times New Roman" w:hAnsi="Calibri" w:cs="Calibri"/>
              </w:rPr>
              <w:t> </w:t>
            </w:r>
          </w:p>
        </w:tc>
      </w:tr>
    </w:tbl>
    <w:p w:rsidR="00A223CA" w:rsidRPr="00A43B3C" w:rsidRDefault="00A43B3C" w:rsidP="00A223CA">
      <w:pPr>
        <w:rPr>
          <w:sz w:val="18"/>
        </w:rPr>
      </w:pPr>
      <w:r w:rsidRPr="00A43B3C">
        <w:rPr>
          <w:sz w:val="18"/>
        </w:rPr>
        <w:t>Source: Carlsbad Department of Development</w:t>
      </w:r>
    </w:p>
    <w:p w:rsidR="00A223CA" w:rsidRDefault="00A223CA">
      <w:r>
        <w:t xml:space="preserve">After surveying the current pricing of local market rate units in early September, the </w:t>
      </w:r>
      <w:r w:rsidR="006839A6">
        <w:t>three</w:t>
      </w:r>
      <w:r>
        <w:t xml:space="preserve"> newest complexes had re</w:t>
      </w:r>
      <w:r w:rsidR="006839A6">
        <w:t>ntal prices that ranged from $85</w:t>
      </w:r>
      <w:r>
        <w:t>0-$1530, which is up about on average 10% since May of this year. The table below shows the pricing of the three major market rate apartments in the area over the past three years.</w:t>
      </w:r>
    </w:p>
    <w:p w:rsidR="00677F83" w:rsidRDefault="00677F83"/>
    <w:p w:rsidR="00522305" w:rsidRDefault="00522305"/>
    <w:p w:rsidR="004B6181" w:rsidRDefault="004B6181"/>
    <w:p w:rsidR="00677F83" w:rsidRDefault="00677F83"/>
    <w:p w:rsidR="00A223CA" w:rsidRPr="00A223CA" w:rsidRDefault="00A223CA">
      <w:pPr>
        <w:rPr>
          <w:b/>
        </w:rPr>
      </w:pPr>
      <w:r>
        <w:rPr>
          <w:b/>
        </w:rPr>
        <w:lastRenderedPageBreak/>
        <w:t>Table 2</w:t>
      </w:r>
      <w:r w:rsidRPr="00A223CA">
        <w:rPr>
          <w:b/>
        </w:rPr>
        <w:t xml:space="preserve">. </w:t>
      </w:r>
      <w:r>
        <w:rPr>
          <w:b/>
        </w:rPr>
        <w:t>Cost of Market Rate</w:t>
      </w:r>
      <w:r w:rsidRPr="00A223CA">
        <w:rPr>
          <w:b/>
        </w:rPr>
        <w:t xml:space="preserve"> Apartments in Carlsbad </w:t>
      </w:r>
      <w:r>
        <w:rPr>
          <w:b/>
        </w:rPr>
        <w:t>2015-</w:t>
      </w:r>
      <w:r w:rsidRPr="00A223CA">
        <w:rPr>
          <w:b/>
        </w:rPr>
        <w:t>2017</w:t>
      </w:r>
    </w:p>
    <w:tbl>
      <w:tblPr>
        <w:tblStyle w:val="TableGrid"/>
        <w:tblW w:w="9620" w:type="dxa"/>
        <w:tblLook w:val="04A0" w:firstRow="1" w:lastRow="0" w:firstColumn="1" w:lastColumn="0" w:noHBand="0" w:noVBand="1"/>
      </w:tblPr>
      <w:tblGrid>
        <w:gridCol w:w="3220"/>
        <w:gridCol w:w="1280"/>
        <w:gridCol w:w="1280"/>
        <w:gridCol w:w="1280"/>
        <w:gridCol w:w="1280"/>
        <w:gridCol w:w="1280"/>
      </w:tblGrid>
      <w:tr w:rsidR="006839A6" w:rsidRPr="006839A6" w:rsidTr="006839A6">
        <w:trPr>
          <w:trHeight w:val="20"/>
        </w:trPr>
        <w:tc>
          <w:tcPr>
            <w:tcW w:w="3220" w:type="dxa"/>
            <w:shd w:val="clear" w:color="auto" w:fill="000000" w:themeFill="text1"/>
            <w:noWrap/>
            <w:hideMark/>
          </w:tcPr>
          <w:p w:rsidR="00A223CA" w:rsidRPr="006839A6" w:rsidRDefault="00A223CA" w:rsidP="00A223CA">
            <w:pPr>
              <w:rPr>
                <w:b/>
                <w:bCs/>
                <w:color w:val="FFFFFF" w:themeColor="background1"/>
              </w:rPr>
            </w:pPr>
            <w:r w:rsidRPr="006839A6">
              <w:rPr>
                <w:b/>
                <w:bCs/>
                <w:color w:val="FFFFFF" w:themeColor="background1"/>
              </w:rPr>
              <w:t>Apartments</w:t>
            </w:r>
          </w:p>
        </w:tc>
        <w:tc>
          <w:tcPr>
            <w:tcW w:w="2560" w:type="dxa"/>
            <w:gridSpan w:val="2"/>
            <w:shd w:val="clear" w:color="auto" w:fill="000000" w:themeFill="text1"/>
            <w:noWrap/>
            <w:hideMark/>
          </w:tcPr>
          <w:p w:rsidR="00A223CA" w:rsidRPr="006839A6" w:rsidRDefault="00A223CA" w:rsidP="00A223CA">
            <w:pPr>
              <w:rPr>
                <w:b/>
                <w:bCs/>
                <w:color w:val="FFFFFF" w:themeColor="background1"/>
              </w:rPr>
            </w:pPr>
            <w:r w:rsidRPr="006839A6">
              <w:rPr>
                <w:b/>
                <w:bCs/>
                <w:color w:val="FFFFFF" w:themeColor="background1"/>
              </w:rPr>
              <w:t>2017</w:t>
            </w:r>
          </w:p>
        </w:tc>
        <w:tc>
          <w:tcPr>
            <w:tcW w:w="2560" w:type="dxa"/>
            <w:gridSpan w:val="2"/>
            <w:shd w:val="clear" w:color="auto" w:fill="000000" w:themeFill="text1"/>
            <w:noWrap/>
            <w:hideMark/>
          </w:tcPr>
          <w:p w:rsidR="00A223CA" w:rsidRPr="006839A6" w:rsidRDefault="00A223CA" w:rsidP="00A223CA">
            <w:pPr>
              <w:rPr>
                <w:b/>
                <w:bCs/>
                <w:color w:val="FFFFFF" w:themeColor="background1"/>
              </w:rPr>
            </w:pPr>
            <w:r w:rsidRPr="006839A6">
              <w:rPr>
                <w:b/>
                <w:bCs/>
                <w:color w:val="FFFFFF" w:themeColor="background1"/>
              </w:rPr>
              <w:t>2016</w:t>
            </w:r>
          </w:p>
        </w:tc>
        <w:tc>
          <w:tcPr>
            <w:tcW w:w="1280" w:type="dxa"/>
            <w:shd w:val="clear" w:color="auto" w:fill="000000" w:themeFill="text1"/>
            <w:noWrap/>
            <w:hideMark/>
          </w:tcPr>
          <w:p w:rsidR="00A223CA" w:rsidRPr="006839A6" w:rsidRDefault="00A223CA" w:rsidP="00A223CA">
            <w:pPr>
              <w:rPr>
                <w:b/>
                <w:bCs/>
                <w:color w:val="FFFFFF" w:themeColor="background1"/>
              </w:rPr>
            </w:pPr>
            <w:r w:rsidRPr="006839A6">
              <w:rPr>
                <w:b/>
                <w:bCs/>
                <w:color w:val="FFFFFF" w:themeColor="background1"/>
              </w:rPr>
              <w:t>2015</w:t>
            </w:r>
          </w:p>
        </w:tc>
      </w:tr>
      <w:tr w:rsidR="00A223CA" w:rsidRPr="00A223CA" w:rsidTr="006839A6">
        <w:trPr>
          <w:trHeight w:val="20"/>
        </w:trPr>
        <w:tc>
          <w:tcPr>
            <w:tcW w:w="3220" w:type="dxa"/>
            <w:noWrap/>
            <w:hideMark/>
          </w:tcPr>
          <w:p w:rsidR="00A223CA" w:rsidRPr="006839A6" w:rsidRDefault="00A223CA">
            <w:pPr>
              <w:rPr>
                <w:bCs/>
              </w:rPr>
            </w:pPr>
            <w:r w:rsidRPr="006839A6">
              <w:rPr>
                <w:bCs/>
              </w:rPr>
              <w:t>Avalon</w:t>
            </w:r>
          </w:p>
        </w:tc>
        <w:tc>
          <w:tcPr>
            <w:tcW w:w="2560" w:type="dxa"/>
            <w:gridSpan w:val="2"/>
            <w:noWrap/>
            <w:hideMark/>
          </w:tcPr>
          <w:p w:rsidR="00A223CA" w:rsidRPr="00A223CA" w:rsidRDefault="00A223CA">
            <w:pPr>
              <w:rPr>
                <w:b/>
                <w:bCs/>
              </w:rPr>
            </w:pPr>
            <w:r w:rsidRPr="00A223CA">
              <w:rPr>
                <w:b/>
                <w:bCs/>
              </w:rPr>
              <w:t>(575) 885-3350</w:t>
            </w:r>
          </w:p>
        </w:tc>
        <w:tc>
          <w:tcPr>
            <w:tcW w:w="2560" w:type="dxa"/>
            <w:gridSpan w:val="2"/>
            <w:noWrap/>
            <w:hideMark/>
          </w:tcPr>
          <w:p w:rsidR="00A223CA" w:rsidRPr="00A223CA" w:rsidRDefault="00A223CA">
            <w:pPr>
              <w:rPr>
                <w:b/>
                <w:bCs/>
              </w:rPr>
            </w:pPr>
            <w:r w:rsidRPr="00A223CA">
              <w:rPr>
                <w:b/>
                <w:bCs/>
              </w:rPr>
              <w:t>1907 San Jose Blvd.</w:t>
            </w:r>
          </w:p>
        </w:tc>
        <w:tc>
          <w:tcPr>
            <w:tcW w:w="1280" w:type="dxa"/>
            <w:noWrap/>
            <w:hideMark/>
          </w:tcPr>
          <w:p w:rsidR="00A223CA" w:rsidRPr="00A223CA" w:rsidRDefault="00A223CA">
            <w:pPr>
              <w:rPr>
                <w:b/>
                <w:bCs/>
              </w:rPr>
            </w:pPr>
            <w:r w:rsidRPr="00A223CA">
              <w:rPr>
                <w:b/>
                <w:bCs/>
              </w:rPr>
              <w:t>est. 2011</w:t>
            </w:r>
          </w:p>
        </w:tc>
      </w:tr>
      <w:tr w:rsidR="00A223CA" w:rsidRPr="00A223CA" w:rsidTr="006839A6">
        <w:trPr>
          <w:trHeight w:val="20"/>
        </w:trPr>
        <w:tc>
          <w:tcPr>
            <w:tcW w:w="322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rsidP="006839A6">
            <w:pPr>
              <w:jc w:val="center"/>
              <w:rPr>
                <w:b/>
                <w:bCs/>
              </w:rPr>
            </w:pPr>
            <w:proofErr w:type="spellStart"/>
            <w:r w:rsidRPr="00A223CA">
              <w:rPr>
                <w:b/>
                <w:bCs/>
              </w:rPr>
              <w:t>sep</w:t>
            </w:r>
            <w:proofErr w:type="spellEnd"/>
          </w:p>
        </w:tc>
        <w:tc>
          <w:tcPr>
            <w:tcW w:w="1280" w:type="dxa"/>
            <w:noWrap/>
            <w:hideMark/>
          </w:tcPr>
          <w:p w:rsidR="00A223CA" w:rsidRPr="00A223CA" w:rsidRDefault="00A223CA" w:rsidP="006839A6">
            <w:pPr>
              <w:jc w:val="center"/>
              <w:rPr>
                <w:b/>
                <w:bCs/>
              </w:rPr>
            </w:pPr>
            <w:r w:rsidRPr="00A223CA">
              <w:rPr>
                <w:b/>
                <w:bCs/>
              </w:rPr>
              <w:t>may</w:t>
            </w:r>
          </w:p>
        </w:tc>
        <w:tc>
          <w:tcPr>
            <w:tcW w:w="1280" w:type="dxa"/>
            <w:noWrap/>
            <w:hideMark/>
          </w:tcPr>
          <w:p w:rsidR="00A223CA" w:rsidRPr="00A223CA" w:rsidRDefault="00A223CA" w:rsidP="006839A6">
            <w:pPr>
              <w:jc w:val="center"/>
              <w:rPr>
                <w:b/>
                <w:bCs/>
              </w:rPr>
            </w:pPr>
            <w:proofErr w:type="spellStart"/>
            <w:r w:rsidRPr="00A223CA">
              <w:rPr>
                <w:b/>
                <w:bCs/>
              </w:rPr>
              <w:t>jul</w:t>
            </w:r>
            <w:proofErr w:type="spellEnd"/>
          </w:p>
        </w:tc>
        <w:tc>
          <w:tcPr>
            <w:tcW w:w="1280" w:type="dxa"/>
            <w:noWrap/>
            <w:hideMark/>
          </w:tcPr>
          <w:p w:rsidR="00A223CA" w:rsidRPr="00A223CA" w:rsidRDefault="00A223CA" w:rsidP="006839A6">
            <w:pPr>
              <w:jc w:val="center"/>
              <w:rPr>
                <w:b/>
                <w:bCs/>
              </w:rPr>
            </w:pPr>
            <w:r w:rsidRPr="00A223CA">
              <w:rPr>
                <w:b/>
                <w:bCs/>
              </w:rPr>
              <w:t>mar</w:t>
            </w:r>
          </w:p>
        </w:tc>
        <w:tc>
          <w:tcPr>
            <w:tcW w:w="1280" w:type="dxa"/>
            <w:noWrap/>
            <w:hideMark/>
          </w:tcPr>
          <w:p w:rsidR="00A223CA" w:rsidRPr="00A223CA" w:rsidRDefault="00A223CA" w:rsidP="006839A6">
            <w:pPr>
              <w:jc w:val="center"/>
              <w:rPr>
                <w:b/>
                <w:bCs/>
              </w:rPr>
            </w:pPr>
            <w:proofErr w:type="spellStart"/>
            <w:r w:rsidRPr="00A223CA">
              <w:rPr>
                <w:b/>
                <w:bCs/>
              </w:rPr>
              <w:t>apr</w:t>
            </w:r>
            <w:proofErr w:type="spellEnd"/>
          </w:p>
        </w:tc>
      </w:tr>
      <w:tr w:rsidR="00A223CA" w:rsidRPr="00A223CA" w:rsidTr="006839A6">
        <w:trPr>
          <w:trHeight w:val="20"/>
        </w:trPr>
        <w:tc>
          <w:tcPr>
            <w:tcW w:w="3220" w:type="dxa"/>
            <w:noWrap/>
            <w:hideMark/>
          </w:tcPr>
          <w:p w:rsidR="00A223CA" w:rsidRPr="006839A6" w:rsidRDefault="00A223CA">
            <w:pPr>
              <w:rPr>
                <w:b/>
              </w:rPr>
            </w:pPr>
            <w:r w:rsidRPr="006839A6">
              <w:rPr>
                <w:b/>
              </w:rPr>
              <w:t>1 bedroom (650 sq. ft.)</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859</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905</w:t>
            </w:r>
          </w:p>
        </w:tc>
      </w:tr>
      <w:tr w:rsidR="00A223CA" w:rsidRPr="00A223CA" w:rsidTr="006839A6">
        <w:trPr>
          <w:trHeight w:val="20"/>
        </w:trPr>
        <w:tc>
          <w:tcPr>
            <w:tcW w:w="3220" w:type="dxa"/>
            <w:noWrap/>
            <w:hideMark/>
          </w:tcPr>
          <w:p w:rsidR="00A223CA" w:rsidRPr="006839A6" w:rsidRDefault="00A223CA">
            <w:pPr>
              <w:rPr>
                <w:b/>
              </w:rPr>
            </w:pPr>
            <w:r w:rsidRPr="006839A6">
              <w:rPr>
                <w:b/>
              </w:rPr>
              <w:t>1 bedroom (725 sq. ft.)</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899</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995</w:t>
            </w:r>
          </w:p>
        </w:tc>
        <w:tc>
          <w:tcPr>
            <w:tcW w:w="1280" w:type="dxa"/>
            <w:noWrap/>
            <w:hideMark/>
          </w:tcPr>
          <w:p w:rsidR="00A223CA" w:rsidRPr="00A223CA" w:rsidRDefault="00A223CA" w:rsidP="006839A6">
            <w:pPr>
              <w:jc w:val="center"/>
            </w:pPr>
            <w:r w:rsidRPr="00A223CA">
              <w:t>945</w:t>
            </w:r>
          </w:p>
        </w:tc>
      </w:tr>
      <w:tr w:rsidR="00A223CA" w:rsidRPr="00A223CA" w:rsidTr="006839A6">
        <w:trPr>
          <w:trHeight w:val="20"/>
        </w:trPr>
        <w:tc>
          <w:tcPr>
            <w:tcW w:w="3220" w:type="dxa"/>
            <w:noWrap/>
            <w:hideMark/>
          </w:tcPr>
          <w:p w:rsidR="00A223CA" w:rsidRPr="006839A6" w:rsidRDefault="00A223CA">
            <w:pPr>
              <w:rPr>
                <w:b/>
              </w:rPr>
            </w:pPr>
            <w:r w:rsidRPr="006839A6">
              <w:rPr>
                <w:b/>
              </w:rPr>
              <w:t>2 bedroom (925 sq. ft.)</w:t>
            </w:r>
          </w:p>
        </w:tc>
        <w:tc>
          <w:tcPr>
            <w:tcW w:w="1280" w:type="dxa"/>
            <w:noWrap/>
            <w:hideMark/>
          </w:tcPr>
          <w:p w:rsidR="00A223CA" w:rsidRPr="00A223CA" w:rsidRDefault="00A223CA" w:rsidP="006839A6">
            <w:pPr>
              <w:jc w:val="center"/>
            </w:pPr>
            <w:r w:rsidRPr="00A223CA">
              <w:t>1,300</w:t>
            </w:r>
          </w:p>
        </w:tc>
        <w:tc>
          <w:tcPr>
            <w:tcW w:w="1280" w:type="dxa"/>
            <w:noWrap/>
            <w:hideMark/>
          </w:tcPr>
          <w:p w:rsidR="00A223CA" w:rsidRPr="00A223CA" w:rsidRDefault="00A223CA" w:rsidP="006839A6">
            <w:pPr>
              <w:jc w:val="center"/>
            </w:pPr>
            <w:r w:rsidRPr="00A223CA">
              <w:t>1,199</w:t>
            </w:r>
          </w:p>
        </w:tc>
        <w:tc>
          <w:tcPr>
            <w:tcW w:w="1280" w:type="dxa"/>
            <w:noWrap/>
            <w:hideMark/>
          </w:tcPr>
          <w:p w:rsidR="00A223CA" w:rsidRPr="00A223CA" w:rsidRDefault="00A223CA" w:rsidP="006839A6">
            <w:pPr>
              <w:jc w:val="center"/>
            </w:pPr>
            <w:r w:rsidRPr="00A223CA">
              <w:t>1,300</w:t>
            </w:r>
          </w:p>
        </w:tc>
        <w:tc>
          <w:tcPr>
            <w:tcW w:w="1280" w:type="dxa"/>
            <w:noWrap/>
            <w:hideMark/>
          </w:tcPr>
          <w:p w:rsidR="00A223CA" w:rsidRPr="00A223CA" w:rsidRDefault="00A223CA" w:rsidP="006839A6">
            <w:pPr>
              <w:jc w:val="center"/>
            </w:pPr>
            <w:r w:rsidRPr="00A223CA">
              <w:t>1,300</w:t>
            </w:r>
          </w:p>
        </w:tc>
        <w:tc>
          <w:tcPr>
            <w:tcW w:w="1280" w:type="dxa"/>
            <w:noWrap/>
            <w:hideMark/>
          </w:tcPr>
          <w:p w:rsidR="00A223CA" w:rsidRPr="00A223CA" w:rsidRDefault="00A223CA" w:rsidP="006839A6">
            <w:pPr>
              <w:jc w:val="center"/>
            </w:pPr>
            <w:r w:rsidRPr="00A223CA">
              <w:t>1,250</w:t>
            </w:r>
          </w:p>
        </w:tc>
      </w:tr>
      <w:tr w:rsidR="00A223CA" w:rsidRPr="00A223CA" w:rsidTr="006839A6">
        <w:trPr>
          <w:trHeight w:val="20"/>
        </w:trPr>
        <w:tc>
          <w:tcPr>
            <w:tcW w:w="3220" w:type="dxa"/>
            <w:noWrap/>
            <w:hideMark/>
          </w:tcPr>
          <w:p w:rsidR="00A223CA" w:rsidRPr="006839A6" w:rsidRDefault="00A223CA">
            <w:pPr>
              <w:rPr>
                <w:b/>
              </w:rPr>
            </w:pPr>
            <w:r w:rsidRPr="006839A6">
              <w:rPr>
                <w:b/>
              </w:rPr>
              <w:t>2 bedroom w/ study (1000 sq. ft.)</w:t>
            </w:r>
          </w:p>
        </w:tc>
        <w:tc>
          <w:tcPr>
            <w:tcW w:w="1280" w:type="dxa"/>
            <w:noWrap/>
            <w:hideMark/>
          </w:tcPr>
          <w:p w:rsidR="00A223CA" w:rsidRPr="00A223CA" w:rsidRDefault="00A223CA" w:rsidP="006839A6">
            <w:pPr>
              <w:jc w:val="center"/>
            </w:pPr>
            <w:r w:rsidRPr="00A223CA">
              <w:t>1,400</w:t>
            </w:r>
          </w:p>
        </w:tc>
        <w:tc>
          <w:tcPr>
            <w:tcW w:w="1280" w:type="dxa"/>
            <w:noWrap/>
            <w:hideMark/>
          </w:tcPr>
          <w:p w:rsidR="00A223CA" w:rsidRPr="00A223CA" w:rsidRDefault="00A223CA" w:rsidP="006839A6">
            <w:pPr>
              <w:jc w:val="center"/>
            </w:pPr>
            <w:r w:rsidRPr="00A223CA">
              <w:t>1,299</w:t>
            </w:r>
          </w:p>
        </w:tc>
        <w:tc>
          <w:tcPr>
            <w:tcW w:w="1280" w:type="dxa"/>
            <w:noWrap/>
            <w:hideMark/>
          </w:tcPr>
          <w:p w:rsidR="00A223CA" w:rsidRPr="00A223CA" w:rsidRDefault="00A223CA" w:rsidP="006839A6">
            <w:pPr>
              <w:jc w:val="center"/>
            </w:pPr>
            <w:r w:rsidRPr="00A223CA">
              <w:t>1,400</w:t>
            </w:r>
          </w:p>
        </w:tc>
        <w:tc>
          <w:tcPr>
            <w:tcW w:w="1280" w:type="dxa"/>
            <w:noWrap/>
            <w:hideMark/>
          </w:tcPr>
          <w:p w:rsidR="00A223CA" w:rsidRPr="00A223CA" w:rsidRDefault="00A223CA" w:rsidP="006839A6">
            <w:pPr>
              <w:jc w:val="center"/>
            </w:pPr>
            <w:r w:rsidRPr="00A223CA">
              <w:t>1,400</w:t>
            </w:r>
          </w:p>
        </w:tc>
        <w:tc>
          <w:tcPr>
            <w:tcW w:w="1280" w:type="dxa"/>
            <w:noWrap/>
            <w:hideMark/>
          </w:tcPr>
          <w:p w:rsidR="00A223CA" w:rsidRPr="00A223CA" w:rsidRDefault="00A223CA" w:rsidP="006839A6">
            <w:pPr>
              <w:jc w:val="center"/>
            </w:pPr>
            <w:r w:rsidRPr="00A223CA">
              <w:t>1,350</w:t>
            </w:r>
          </w:p>
        </w:tc>
      </w:tr>
      <w:tr w:rsidR="00A223CA" w:rsidRPr="00A223CA" w:rsidTr="006839A6">
        <w:trPr>
          <w:trHeight w:val="20"/>
        </w:trPr>
        <w:tc>
          <w:tcPr>
            <w:tcW w:w="3220" w:type="dxa"/>
            <w:noWrap/>
            <w:hideMark/>
          </w:tcPr>
          <w:p w:rsidR="00A223CA" w:rsidRPr="006839A6" w:rsidRDefault="00A223CA">
            <w:pPr>
              <w:rPr>
                <w:b/>
              </w:rPr>
            </w:pPr>
            <w:r w:rsidRPr="006839A6">
              <w:rPr>
                <w:b/>
              </w:rPr>
              <w:t>3 bedroom (1250 sq. ft.)</w:t>
            </w:r>
          </w:p>
        </w:tc>
        <w:tc>
          <w:tcPr>
            <w:tcW w:w="1280" w:type="dxa"/>
            <w:noWrap/>
            <w:hideMark/>
          </w:tcPr>
          <w:p w:rsidR="00A223CA" w:rsidRPr="00A223CA" w:rsidRDefault="00A223CA" w:rsidP="006839A6">
            <w:pPr>
              <w:jc w:val="center"/>
            </w:pPr>
            <w:r w:rsidRPr="00A223CA">
              <w:t>1,530</w:t>
            </w:r>
          </w:p>
        </w:tc>
        <w:tc>
          <w:tcPr>
            <w:tcW w:w="1280" w:type="dxa"/>
            <w:noWrap/>
            <w:hideMark/>
          </w:tcPr>
          <w:p w:rsidR="00A223CA" w:rsidRPr="00A223CA" w:rsidRDefault="00A223CA" w:rsidP="006839A6">
            <w:pPr>
              <w:jc w:val="center"/>
            </w:pPr>
            <w:r w:rsidRPr="00A223CA">
              <w:t>1,399</w:t>
            </w:r>
          </w:p>
        </w:tc>
        <w:tc>
          <w:tcPr>
            <w:tcW w:w="1280" w:type="dxa"/>
            <w:noWrap/>
            <w:hideMark/>
          </w:tcPr>
          <w:p w:rsidR="00A223CA" w:rsidRPr="00A223CA" w:rsidRDefault="00A223CA" w:rsidP="006839A6">
            <w:pPr>
              <w:jc w:val="center"/>
            </w:pPr>
            <w:r w:rsidRPr="00A223CA">
              <w:t>1,530</w:t>
            </w:r>
          </w:p>
        </w:tc>
        <w:tc>
          <w:tcPr>
            <w:tcW w:w="1280" w:type="dxa"/>
            <w:noWrap/>
            <w:hideMark/>
          </w:tcPr>
          <w:p w:rsidR="00A223CA" w:rsidRPr="00A223CA" w:rsidRDefault="00A223CA" w:rsidP="006839A6">
            <w:pPr>
              <w:jc w:val="center"/>
            </w:pPr>
            <w:r w:rsidRPr="00A223CA">
              <w:t>1,530</w:t>
            </w:r>
          </w:p>
        </w:tc>
        <w:tc>
          <w:tcPr>
            <w:tcW w:w="1280" w:type="dxa"/>
            <w:noWrap/>
            <w:hideMark/>
          </w:tcPr>
          <w:p w:rsidR="00A223CA" w:rsidRPr="00A223CA" w:rsidRDefault="00A223CA" w:rsidP="006839A6">
            <w:pPr>
              <w:jc w:val="center"/>
            </w:pPr>
            <w:r w:rsidRPr="00A223CA">
              <w:t>1,480</w:t>
            </w:r>
          </w:p>
        </w:tc>
      </w:tr>
      <w:tr w:rsidR="00A223CA" w:rsidRPr="00A223CA" w:rsidTr="006839A6">
        <w:trPr>
          <w:trHeight w:val="20"/>
        </w:trPr>
        <w:tc>
          <w:tcPr>
            <w:tcW w:w="322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pPr>
              <w:rPr>
                <w:b/>
                <w:bCs/>
              </w:rPr>
            </w:pPr>
            <w:r w:rsidRPr="00A223CA">
              <w:rPr>
                <w:b/>
                <w:bCs/>
              </w:rPr>
              <w:t> </w:t>
            </w:r>
          </w:p>
        </w:tc>
        <w:tc>
          <w:tcPr>
            <w:tcW w:w="1280" w:type="dxa"/>
            <w:noWrap/>
            <w:hideMark/>
          </w:tcPr>
          <w:p w:rsidR="00A223CA" w:rsidRPr="00A223CA" w:rsidRDefault="00A223CA">
            <w:pPr>
              <w:rPr>
                <w:b/>
                <w:bCs/>
              </w:rPr>
            </w:pPr>
            <w:r w:rsidRPr="00A223CA">
              <w:rPr>
                <w:b/>
                <w:bCs/>
              </w:rPr>
              <w:t> </w:t>
            </w:r>
          </w:p>
        </w:tc>
      </w:tr>
      <w:tr w:rsidR="00A223CA" w:rsidRPr="00A223CA" w:rsidTr="006839A6">
        <w:trPr>
          <w:trHeight w:val="20"/>
        </w:trPr>
        <w:tc>
          <w:tcPr>
            <w:tcW w:w="3220" w:type="dxa"/>
            <w:noWrap/>
            <w:hideMark/>
          </w:tcPr>
          <w:p w:rsidR="00A223CA" w:rsidRPr="006839A6" w:rsidRDefault="00A223CA">
            <w:pPr>
              <w:rPr>
                <w:bCs/>
              </w:rPr>
            </w:pPr>
            <w:proofErr w:type="spellStart"/>
            <w:r w:rsidRPr="006839A6">
              <w:rPr>
                <w:bCs/>
              </w:rPr>
              <w:t>Copperstone</w:t>
            </w:r>
            <w:proofErr w:type="spellEnd"/>
          </w:p>
        </w:tc>
        <w:tc>
          <w:tcPr>
            <w:tcW w:w="2560" w:type="dxa"/>
            <w:gridSpan w:val="2"/>
            <w:noWrap/>
            <w:hideMark/>
          </w:tcPr>
          <w:p w:rsidR="00A223CA" w:rsidRPr="00A223CA" w:rsidRDefault="00A223CA">
            <w:pPr>
              <w:rPr>
                <w:b/>
                <w:bCs/>
              </w:rPr>
            </w:pPr>
            <w:r w:rsidRPr="00A223CA">
              <w:rPr>
                <w:b/>
                <w:bCs/>
              </w:rPr>
              <w:t>(575) 234-1637</w:t>
            </w:r>
          </w:p>
        </w:tc>
        <w:tc>
          <w:tcPr>
            <w:tcW w:w="2560" w:type="dxa"/>
            <w:gridSpan w:val="2"/>
            <w:noWrap/>
            <w:hideMark/>
          </w:tcPr>
          <w:p w:rsidR="00A223CA" w:rsidRPr="00A223CA" w:rsidRDefault="00A223CA">
            <w:pPr>
              <w:rPr>
                <w:b/>
                <w:bCs/>
              </w:rPr>
            </w:pPr>
            <w:r w:rsidRPr="00A223CA">
              <w:rPr>
                <w:b/>
                <w:bCs/>
              </w:rPr>
              <w:t>1101 Calloway Drive</w:t>
            </w:r>
          </w:p>
        </w:tc>
        <w:tc>
          <w:tcPr>
            <w:tcW w:w="1280" w:type="dxa"/>
            <w:noWrap/>
            <w:hideMark/>
          </w:tcPr>
          <w:p w:rsidR="00A223CA" w:rsidRPr="00A223CA" w:rsidRDefault="00A223CA">
            <w:pPr>
              <w:rPr>
                <w:b/>
                <w:bCs/>
              </w:rPr>
            </w:pPr>
            <w:r w:rsidRPr="00A223CA">
              <w:rPr>
                <w:b/>
                <w:bCs/>
              </w:rPr>
              <w:t>est. 2011</w:t>
            </w:r>
          </w:p>
        </w:tc>
      </w:tr>
      <w:tr w:rsidR="00A223CA" w:rsidRPr="00A223CA" w:rsidTr="006839A6">
        <w:trPr>
          <w:trHeight w:val="20"/>
        </w:trPr>
        <w:tc>
          <w:tcPr>
            <w:tcW w:w="3220" w:type="dxa"/>
            <w:noWrap/>
            <w:hideMark/>
          </w:tcPr>
          <w:p w:rsidR="00A223CA" w:rsidRPr="00A223CA" w:rsidRDefault="00A223CA" w:rsidP="006839A6">
            <w:pPr>
              <w:rPr>
                <w:b/>
                <w:bCs/>
              </w:rPr>
            </w:pPr>
            <w:r w:rsidRPr="00A223CA">
              <w:rPr>
                <w:b/>
                <w:bCs/>
              </w:rPr>
              <w:t> </w:t>
            </w:r>
          </w:p>
        </w:tc>
        <w:tc>
          <w:tcPr>
            <w:tcW w:w="1280" w:type="dxa"/>
            <w:noWrap/>
            <w:hideMark/>
          </w:tcPr>
          <w:p w:rsidR="00A223CA" w:rsidRPr="00A223CA" w:rsidRDefault="00A223CA" w:rsidP="006839A6">
            <w:pPr>
              <w:jc w:val="center"/>
              <w:rPr>
                <w:b/>
                <w:bCs/>
              </w:rPr>
            </w:pPr>
            <w:proofErr w:type="spellStart"/>
            <w:r w:rsidRPr="00A223CA">
              <w:rPr>
                <w:b/>
                <w:bCs/>
              </w:rPr>
              <w:t>sep</w:t>
            </w:r>
            <w:proofErr w:type="spellEnd"/>
          </w:p>
        </w:tc>
        <w:tc>
          <w:tcPr>
            <w:tcW w:w="1280" w:type="dxa"/>
            <w:noWrap/>
            <w:hideMark/>
          </w:tcPr>
          <w:p w:rsidR="00A223CA" w:rsidRPr="00A223CA" w:rsidRDefault="00A223CA" w:rsidP="006839A6">
            <w:pPr>
              <w:jc w:val="center"/>
              <w:rPr>
                <w:b/>
                <w:bCs/>
              </w:rPr>
            </w:pPr>
            <w:r w:rsidRPr="00A223CA">
              <w:rPr>
                <w:b/>
                <w:bCs/>
              </w:rPr>
              <w:t>may</w:t>
            </w:r>
          </w:p>
        </w:tc>
        <w:tc>
          <w:tcPr>
            <w:tcW w:w="1280" w:type="dxa"/>
            <w:noWrap/>
            <w:hideMark/>
          </w:tcPr>
          <w:p w:rsidR="00A223CA" w:rsidRPr="00A223CA" w:rsidRDefault="00A223CA" w:rsidP="006839A6">
            <w:pPr>
              <w:jc w:val="center"/>
              <w:rPr>
                <w:b/>
                <w:bCs/>
              </w:rPr>
            </w:pPr>
            <w:proofErr w:type="spellStart"/>
            <w:r w:rsidRPr="00A223CA">
              <w:rPr>
                <w:b/>
                <w:bCs/>
              </w:rPr>
              <w:t>jul</w:t>
            </w:r>
            <w:proofErr w:type="spellEnd"/>
          </w:p>
        </w:tc>
        <w:tc>
          <w:tcPr>
            <w:tcW w:w="1280" w:type="dxa"/>
            <w:noWrap/>
            <w:hideMark/>
          </w:tcPr>
          <w:p w:rsidR="00A223CA" w:rsidRPr="00A223CA" w:rsidRDefault="00A223CA" w:rsidP="006839A6">
            <w:pPr>
              <w:jc w:val="center"/>
              <w:rPr>
                <w:b/>
                <w:bCs/>
              </w:rPr>
            </w:pPr>
            <w:r w:rsidRPr="00A223CA">
              <w:rPr>
                <w:b/>
                <w:bCs/>
              </w:rPr>
              <w:t>mar</w:t>
            </w:r>
          </w:p>
        </w:tc>
        <w:tc>
          <w:tcPr>
            <w:tcW w:w="1280" w:type="dxa"/>
            <w:noWrap/>
            <w:hideMark/>
          </w:tcPr>
          <w:p w:rsidR="00A223CA" w:rsidRPr="00A223CA" w:rsidRDefault="00A223CA" w:rsidP="006839A6">
            <w:pPr>
              <w:jc w:val="center"/>
              <w:rPr>
                <w:b/>
                <w:bCs/>
              </w:rPr>
            </w:pPr>
            <w:proofErr w:type="spellStart"/>
            <w:r w:rsidRPr="00A223CA">
              <w:rPr>
                <w:b/>
                <w:bCs/>
              </w:rPr>
              <w:t>apr</w:t>
            </w:r>
            <w:proofErr w:type="spellEnd"/>
          </w:p>
        </w:tc>
      </w:tr>
      <w:tr w:rsidR="00A223CA" w:rsidRPr="00A223CA" w:rsidTr="006839A6">
        <w:trPr>
          <w:trHeight w:val="20"/>
        </w:trPr>
        <w:tc>
          <w:tcPr>
            <w:tcW w:w="3220" w:type="dxa"/>
            <w:noWrap/>
            <w:hideMark/>
          </w:tcPr>
          <w:p w:rsidR="00A223CA" w:rsidRPr="006839A6" w:rsidRDefault="00A223CA" w:rsidP="006839A6">
            <w:pPr>
              <w:rPr>
                <w:b/>
              </w:rPr>
            </w:pPr>
            <w:r w:rsidRPr="006839A6">
              <w:rPr>
                <w:b/>
              </w:rPr>
              <w:t>1 bedroom (669 sq. ft.)</w:t>
            </w:r>
          </w:p>
        </w:tc>
        <w:tc>
          <w:tcPr>
            <w:tcW w:w="1280" w:type="dxa"/>
            <w:noWrap/>
            <w:hideMark/>
          </w:tcPr>
          <w:p w:rsidR="00A223CA" w:rsidRPr="00A223CA" w:rsidRDefault="00A223CA" w:rsidP="006839A6">
            <w:pPr>
              <w:jc w:val="center"/>
            </w:pPr>
            <w:r w:rsidRPr="00A223CA">
              <w:t>880</w:t>
            </w:r>
          </w:p>
        </w:tc>
        <w:tc>
          <w:tcPr>
            <w:tcW w:w="1280" w:type="dxa"/>
            <w:noWrap/>
            <w:hideMark/>
          </w:tcPr>
          <w:p w:rsidR="00A223CA" w:rsidRPr="00A223CA" w:rsidRDefault="00A223CA" w:rsidP="006839A6">
            <w:pPr>
              <w:jc w:val="center"/>
            </w:pPr>
            <w:r w:rsidRPr="00A223CA">
              <w:t>850</w:t>
            </w:r>
          </w:p>
        </w:tc>
        <w:tc>
          <w:tcPr>
            <w:tcW w:w="1280" w:type="dxa"/>
            <w:noWrap/>
            <w:hideMark/>
          </w:tcPr>
          <w:p w:rsidR="00A223CA" w:rsidRPr="00A223CA" w:rsidRDefault="00A223CA" w:rsidP="006839A6">
            <w:pPr>
              <w:jc w:val="center"/>
            </w:pPr>
            <w:r w:rsidRPr="00A223CA">
              <w:t>850</w:t>
            </w:r>
          </w:p>
        </w:tc>
        <w:tc>
          <w:tcPr>
            <w:tcW w:w="1280" w:type="dxa"/>
            <w:noWrap/>
            <w:hideMark/>
          </w:tcPr>
          <w:p w:rsidR="00A223CA" w:rsidRPr="00A223CA" w:rsidRDefault="00A223CA" w:rsidP="006839A6">
            <w:pPr>
              <w:jc w:val="center"/>
            </w:pPr>
            <w:r w:rsidRPr="00A223CA">
              <w:t>850</w:t>
            </w:r>
          </w:p>
        </w:tc>
        <w:tc>
          <w:tcPr>
            <w:tcW w:w="1280" w:type="dxa"/>
            <w:noWrap/>
            <w:hideMark/>
          </w:tcPr>
          <w:p w:rsidR="00A223CA" w:rsidRPr="00A223CA" w:rsidRDefault="00A223CA" w:rsidP="006839A6">
            <w:pPr>
              <w:jc w:val="center"/>
            </w:pPr>
            <w:r w:rsidRPr="00A223CA">
              <w:t>800</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1 bedroom (753 sq. ft.)</w:t>
            </w:r>
          </w:p>
        </w:tc>
        <w:tc>
          <w:tcPr>
            <w:tcW w:w="1280" w:type="dxa"/>
            <w:noWrap/>
            <w:hideMark/>
          </w:tcPr>
          <w:p w:rsidR="00A223CA" w:rsidRPr="00A223CA" w:rsidRDefault="00A223CA" w:rsidP="006839A6">
            <w:pPr>
              <w:jc w:val="center"/>
            </w:pPr>
            <w:r w:rsidRPr="00A223CA">
              <w:t>985</w:t>
            </w:r>
          </w:p>
        </w:tc>
        <w:tc>
          <w:tcPr>
            <w:tcW w:w="1280" w:type="dxa"/>
            <w:noWrap/>
            <w:hideMark/>
          </w:tcPr>
          <w:p w:rsidR="00A223CA" w:rsidRPr="00A223CA" w:rsidRDefault="00A223CA" w:rsidP="006839A6">
            <w:pPr>
              <w:jc w:val="center"/>
            </w:pPr>
            <w:r w:rsidRPr="00A223CA">
              <w:t>955</w:t>
            </w:r>
          </w:p>
        </w:tc>
        <w:tc>
          <w:tcPr>
            <w:tcW w:w="1280" w:type="dxa"/>
            <w:noWrap/>
            <w:hideMark/>
          </w:tcPr>
          <w:p w:rsidR="00A223CA" w:rsidRPr="00A223CA" w:rsidRDefault="00A223CA" w:rsidP="006839A6">
            <w:pPr>
              <w:jc w:val="center"/>
            </w:pPr>
            <w:r w:rsidRPr="00A223CA">
              <w:t>955</w:t>
            </w:r>
          </w:p>
        </w:tc>
        <w:tc>
          <w:tcPr>
            <w:tcW w:w="1280" w:type="dxa"/>
            <w:noWrap/>
            <w:hideMark/>
          </w:tcPr>
          <w:p w:rsidR="00A223CA" w:rsidRPr="00A223CA" w:rsidRDefault="00A223CA" w:rsidP="006839A6">
            <w:pPr>
              <w:jc w:val="center"/>
            </w:pPr>
            <w:r w:rsidRPr="00A223CA">
              <w:t>955</w:t>
            </w:r>
          </w:p>
        </w:tc>
        <w:tc>
          <w:tcPr>
            <w:tcW w:w="1280" w:type="dxa"/>
            <w:noWrap/>
            <w:hideMark/>
          </w:tcPr>
          <w:p w:rsidR="00A223CA" w:rsidRPr="00A223CA" w:rsidRDefault="00A223CA" w:rsidP="006839A6">
            <w:pPr>
              <w:jc w:val="center"/>
            </w:pPr>
            <w:r w:rsidRPr="00A223CA">
              <w:t>905</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1 bedroom (739 sq. ft.)</w:t>
            </w:r>
          </w:p>
        </w:tc>
        <w:tc>
          <w:tcPr>
            <w:tcW w:w="1280" w:type="dxa"/>
            <w:noWrap/>
            <w:hideMark/>
          </w:tcPr>
          <w:p w:rsidR="00A223CA" w:rsidRPr="00A223CA" w:rsidRDefault="00A223CA" w:rsidP="006839A6">
            <w:pPr>
              <w:jc w:val="center"/>
            </w:pPr>
            <w:r w:rsidRPr="00A223CA">
              <w:t>980</w:t>
            </w:r>
          </w:p>
        </w:tc>
        <w:tc>
          <w:tcPr>
            <w:tcW w:w="1280" w:type="dxa"/>
            <w:noWrap/>
            <w:hideMark/>
          </w:tcPr>
          <w:p w:rsidR="00A223CA" w:rsidRPr="00A223CA" w:rsidRDefault="00A223CA" w:rsidP="006839A6">
            <w:pPr>
              <w:jc w:val="center"/>
            </w:pPr>
            <w:r w:rsidRPr="00A223CA">
              <w:t>950</w:t>
            </w:r>
          </w:p>
        </w:tc>
        <w:tc>
          <w:tcPr>
            <w:tcW w:w="1280" w:type="dxa"/>
            <w:noWrap/>
            <w:hideMark/>
          </w:tcPr>
          <w:p w:rsidR="00A223CA" w:rsidRPr="00A223CA" w:rsidRDefault="00A223CA" w:rsidP="006839A6">
            <w:pPr>
              <w:jc w:val="center"/>
            </w:pPr>
            <w:r w:rsidRPr="00A223CA">
              <w:t>950</w:t>
            </w:r>
          </w:p>
        </w:tc>
        <w:tc>
          <w:tcPr>
            <w:tcW w:w="1280" w:type="dxa"/>
            <w:noWrap/>
            <w:hideMark/>
          </w:tcPr>
          <w:p w:rsidR="00A223CA" w:rsidRPr="00A223CA" w:rsidRDefault="00A223CA" w:rsidP="006839A6">
            <w:pPr>
              <w:jc w:val="center"/>
            </w:pPr>
            <w:r w:rsidRPr="00A223CA">
              <w:t>950</w:t>
            </w:r>
          </w:p>
        </w:tc>
        <w:tc>
          <w:tcPr>
            <w:tcW w:w="1280" w:type="dxa"/>
            <w:noWrap/>
            <w:hideMark/>
          </w:tcPr>
          <w:p w:rsidR="00A223CA" w:rsidRPr="00A223CA" w:rsidRDefault="00A223CA" w:rsidP="006839A6">
            <w:pPr>
              <w:jc w:val="center"/>
            </w:pPr>
            <w:r w:rsidRPr="00A223CA">
              <w:t>900</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2 bedroom (1038 sq. ft.)</w:t>
            </w:r>
          </w:p>
        </w:tc>
        <w:tc>
          <w:tcPr>
            <w:tcW w:w="1280" w:type="dxa"/>
            <w:noWrap/>
            <w:hideMark/>
          </w:tcPr>
          <w:p w:rsidR="00A223CA" w:rsidRPr="00A223CA" w:rsidRDefault="00A223CA" w:rsidP="006839A6">
            <w:pPr>
              <w:jc w:val="center"/>
            </w:pPr>
            <w:r w:rsidRPr="00A223CA">
              <w:t>1,245</w:t>
            </w:r>
          </w:p>
        </w:tc>
        <w:tc>
          <w:tcPr>
            <w:tcW w:w="1280" w:type="dxa"/>
            <w:noWrap/>
            <w:hideMark/>
          </w:tcPr>
          <w:p w:rsidR="00A223CA" w:rsidRPr="00A223CA" w:rsidRDefault="00A223CA" w:rsidP="006839A6">
            <w:pPr>
              <w:jc w:val="center"/>
            </w:pPr>
            <w:r w:rsidRPr="00A223CA">
              <w:t>1,215</w:t>
            </w:r>
          </w:p>
        </w:tc>
        <w:tc>
          <w:tcPr>
            <w:tcW w:w="1280" w:type="dxa"/>
            <w:noWrap/>
            <w:hideMark/>
          </w:tcPr>
          <w:p w:rsidR="00A223CA" w:rsidRPr="00A223CA" w:rsidRDefault="00A223CA" w:rsidP="006839A6">
            <w:pPr>
              <w:jc w:val="center"/>
            </w:pPr>
            <w:r w:rsidRPr="00A223CA">
              <w:t>1,215</w:t>
            </w:r>
          </w:p>
        </w:tc>
        <w:tc>
          <w:tcPr>
            <w:tcW w:w="1280" w:type="dxa"/>
            <w:noWrap/>
            <w:hideMark/>
          </w:tcPr>
          <w:p w:rsidR="00A223CA" w:rsidRPr="00A223CA" w:rsidRDefault="00A223CA" w:rsidP="006839A6">
            <w:pPr>
              <w:jc w:val="center"/>
            </w:pPr>
            <w:r w:rsidRPr="00A223CA">
              <w:t>1,215</w:t>
            </w:r>
          </w:p>
        </w:tc>
        <w:tc>
          <w:tcPr>
            <w:tcW w:w="1280" w:type="dxa"/>
            <w:noWrap/>
            <w:hideMark/>
          </w:tcPr>
          <w:p w:rsidR="00A223CA" w:rsidRPr="00A223CA" w:rsidRDefault="00A223CA" w:rsidP="006839A6">
            <w:pPr>
              <w:jc w:val="center"/>
            </w:pPr>
            <w:r w:rsidRPr="00A223CA">
              <w:t>1,125</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2 bedroom (1078 sq. ft.)</w:t>
            </w:r>
          </w:p>
        </w:tc>
        <w:tc>
          <w:tcPr>
            <w:tcW w:w="1280" w:type="dxa"/>
            <w:noWrap/>
            <w:hideMark/>
          </w:tcPr>
          <w:p w:rsidR="00A223CA" w:rsidRPr="00A223CA" w:rsidRDefault="00A223CA" w:rsidP="006839A6">
            <w:pPr>
              <w:jc w:val="center"/>
            </w:pPr>
            <w:r w:rsidRPr="00A223CA">
              <w:t>1,270</w:t>
            </w:r>
          </w:p>
        </w:tc>
        <w:tc>
          <w:tcPr>
            <w:tcW w:w="1280" w:type="dxa"/>
            <w:noWrap/>
            <w:hideMark/>
          </w:tcPr>
          <w:p w:rsidR="00A223CA" w:rsidRPr="00A223CA" w:rsidRDefault="00A223CA" w:rsidP="006839A6">
            <w:pPr>
              <w:jc w:val="center"/>
            </w:pPr>
            <w:r w:rsidRPr="00A223CA">
              <w:t>1,240</w:t>
            </w:r>
          </w:p>
        </w:tc>
        <w:tc>
          <w:tcPr>
            <w:tcW w:w="1280" w:type="dxa"/>
            <w:noWrap/>
            <w:hideMark/>
          </w:tcPr>
          <w:p w:rsidR="00A223CA" w:rsidRPr="00A223CA" w:rsidRDefault="00A223CA" w:rsidP="006839A6">
            <w:pPr>
              <w:jc w:val="center"/>
            </w:pPr>
            <w:r w:rsidRPr="00A223CA">
              <w:t>1,240</w:t>
            </w:r>
          </w:p>
        </w:tc>
        <w:tc>
          <w:tcPr>
            <w:tcW w:w="1280" w:type="dxa"/>
            <w:noWrap/>
            <w:hideMark/>
          </w:tcPr>
          <w:p w:rsidR="00A223CA" w:rsidRPr="00A223CA" w:rsidRDefault="00A223CA" w:rsidP="006839A6">
            <w:pPr>
              <w:jc w:val="center"/>
            </w:pPr>
            <w:r w:rsidRPr="00A223CA">
              <w:t>1,240</w:t>
            </w:r>
          </w:p>
        </w:tc>
        <w:tc>
          <w:tcPr>
            <w:tcW w:w="1280" w:type="dxa"/>
            <w:noWrap/>
            <w:hideMark/>
          </w:tcPr>
          <w:p w:rsidR="00A223CA" w:rsidRPr="00A223CA" w:rsidRDefault="00A223CA" w:rsidP="006839A6">
            <w:pPr>
              <w:jc w:val="center"/>
            </w:pPr>
            <w:r w:rsidRPr="00A223CA">
              <w:t>1,150</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2 bedroom (1157 sq. ft.)</w:t>
            </w:r>
          </w:p>
        </w:tc>
        <w:tc>
          <w:tcPr>
            <w:tcW w:w="1280" w:type="dxa"/>
            <w:noWrap/>
            <w:hideMark/>
          </w:tcPr>
          <w:p w:rsidR="00A223CA" w:rsidRPr="00A223CA" w:rsidRDefault="00A223CA" w:rsidP="006839A6">
            <w:pPr>
              <w:jc w:val="center"/>
            </w:pPr>
            <w:r w:rsidRPr="00A223CA">
              <w:t>1,395</w:t>
            </w:r>
          </w:p>
        </w:tc>
        <w:tc>
          <w:tcPr>
            <w:tcW w:w="1280" w:type="dxa"/>
            <w:noWrap/>
            <w:hideMark/>
          </w:tcPr>
          <w:p w:rsidR="00A223CA" w:rsidRPr="00A223CA" w:rsidRDefault="00A223CA" w:rsidP="006839A6">
            <w:pPr>
              <w:jc w:val="center"/>
            </w:pPr>
            <w:r w:rsidRPr="00A223CA">
              <w:t>1,345</w:t>
            </w:r>
          </w:p>
        </w:tc>
        <w:tc>
          <w:tcPr>
            <w:tcW w:w="1280" w:type="dxa"/>
            <w:noWrap/>
            <w:hideMark/>
          </w:tcPr>
          <w:p w:rsidR="00A223CA" w:rsidRPr="00A223CA" w:rsidRDefault="00A223CA" w:rsidP="006839A6">
            <w:pPr>
              <w:jc w:val="center"/>
            </w:pPr>
            <w:r w:rsidRPr="00A223CA">
              <w:t>1,255</w:t>
            </w:r>
          </w:p>
        </w:tc>
        <w:tc>
          <w:tcPr>
            <w:tcW w:w="1280" w:type="dxa"/>
            <w:noWrap/>
            <w:hideMark/>
          </w:tcPr>
          <w:p w:rsidR="00A223CA" w:rsidRPr="00A223CA" w:rsidRDefault="00A223CA" w:rsidP="006839A6">
            <w:pPr>
              <w:jc w:val="center"/>
            </w:pPr>
            <w:r w:rsidRPr="00A223CA">
              <w:t>1,255</w:t>
            </w:r>
          </w:p>
        </w:tc>
        <w:tc>
          <w:tcPr>
            <w:tcW w:w="1280" w:type="dxa"/>
            <w:noWrap/>
            <w:hideMark/>
          </w:tcPr>
          <w:p w:rsidR="00A223CA" w:rsidRPr="00A223CA" w:rsidRDefault="00A223CA" w:rsidP="006839A6">
            <w:pPr>
              <w:jc w:val="center"/>
            </w:pPr>
            <w:r w:rsidRPr="00A223CA">
              <w:t>1,345</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2 bedroom (1246 sq. ft.)</w:t>
            </w:r>
          </w:p>
        </w:tc>
        <w:tc>
          <w:tcPr>
            <w:tcW w:w="1280" w:type="dxa"/>
            <w:noWrap/>
            <w:hideMark/>
          </w:tcPr>
          <w:p w:rsidR="00A223CA" w:rsidRPr="00A223CA" w:rsidRDefault="00A223CA" w:rsidP="006839A6">
            <w:pPr>
              <w:jc w:val="center"/>
            </w:pPr>
            <w:r w:rsidRPr="00A223CA">
              <w:t>1,365</w:t>
            </w:r>
          </w:p>
        </w:tc>
        <w:tc>
          <w:tcPr>
            <w:tcW w:w="1280" w:type="dxa"/>
            <w:noWrap/>
            <w:hideMark/>
          </w:tcPr>
          <w:p w:rsidR="00A223CA" w:rsidRPr="00A223CA" w:rsidRDefault="00A223CA" w:rsidP="006839A6">
            <w:pPr>
              <w:jc w:val="center"/>
            </w:pPr>
            <w:r w:rsidRPr="00A223CA">
              <w:t>1,315</w:t>
            </w:r>
          </w:p>
        </w:tc>
        <w:tc>
          <w:tcPr>
            <w:tcW w:w="1280" w:type="dxa"/>
            <w:noWrap/>
            <w:hideMark/>
          </w:tcPr>
          <w:p w:rsidR="00A223CA" w:rsidRPr="00A223CA" w:rsidRDefault="00A223CA" w:rsidP="006839A6">
            <w:pPr>
              <w:jc w:val="center"/>
            </w:pPr>
            <w:r w:rsidRPr="00A223CA">
              <w:t>1,345</w:t>
            </w:r>
          </w:p>
        </w:tc>
        <w:tc>
          <w:tcPr>
            <w:tcW w:w="1280" w:type="dxa"/>
            <w:noWrap/>
            <w:hideMark/>
          </w:tcPr>
          <w:p w:rsidR="00A223CA" w:rsidRPr="00A223CA" w:rsidRDefault="00A223CA" w:rsidP="006839A6">
            <w:pPr>
              <w:jc w:val="center"/>
            </w:pPr>
            <w:r w:rsidRPr="00A223CA">
              <w:t>1,345</w:t>
            </w:r>
          </w:p>
        </w:tc>
        <w:tc>
          <w:tcPr>
            <w:tcW w:w="1280" w:type="dxa"/>
            <w:noWrap/>
            <w:hideMark/>
          </w:tcPr>
          <w:p w:rsidR="00A223CA" w:rsidRPr="00A223CA" w:rsidRDefault="00A223CA" w:rsidP="006839A6">
            <w:pPr>
              <w:jc w:val="center"/>
            </w:pPr>
            <w:r w:rsidRPr="00A223CA">
              <w:t>1,315</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2 bedroom (1225 sq. ft.)</w:t>
            </w:r>
          </w:p>
        </w:tc>
        <w:tc>
          <w:tcPr>
            <w:tcW w:w="1280" w:type="dxa"/>
            <w:noWrap/>
            <w:hideMark/>
          </w:tcPr>
          <w:p w:rsidR="00A223CA" w:rsidRPr="00A223CA" w:rsidRDefault="00A223CA" w:rsidP="006839A6">
            <w:pPr>
              <w:jc w:val="center"/>
            </w:pPr>
            <w:r w:rsidRPr="00A223CA">
              <w:t>1,355</w:t>
            </w:r>
          </w:p>
        </w:tc>
        <w:tc>
          <w:tcPr>
            <w:tcW w:w="1280" w:type="dxa"/>
            <w:noWrap/>
            <w:hideMark/>
          </w:tcPr>
          <w:p w:rsidR="00A223CA" w:rsidRPr="00A223CA" w:rsidRDefault="00A223CA" w:rsidP="006839A6">
            <w:pPr>
              <w:jc w:val="center"/>
            </w:pPr>
            <w:r w:rsidRPr="00A223CA">
              <w:t>1,305</w:t>
            </w:r>
          </w:p>
        </w:tc>
        <w:tc>
          <w:tcPr>
            <w:tcW w:w="1280" w:type="dxa"/>
            <w:noWrap/>
            <w:hideMark/>
          </w:tcPr>
          <w:p w:rsidR="00A223CA" w:rsidRPr="00A223CA" w:rsidRDefault="00A223CA" w:rsidP="006839A6">
            <w:pPr>
              <w:jc w:val="center"/>
            </w:pPr>
            <w:r w:rsidRPr="00A223CA">
              <w:t>1,315</w:t>
            </w:r>
          </w:p>
        </w:tc>
        <w:tc>
          <w:tcPr>
            <w:tcW w:w="1280" w:type="dxa"/>
            <w:noWrap/>
            <w:hideMark/>
          </w:tcPr>
          <w:p w:rsidR="00A223CA" w:rsidRPr="00A223CA" w:rsidRDefault="00A223CA" w:rsidP="006839A6">
            <w:pPr>
              <w:jc w:val="center"/>
            </w:pPr>
            <w:r w:rsidRPr="00A223CA">
              <w:t>1,315</w:t>
            </w:r>
          </w:p>
        </w:tc>
        <w:tc>
          <w:tcPr>
            <w:tcW w:w="1280" w:type="dxa"/>
            <w:noWrap/>
            <w:hideMark/>
          </w:tcPr>
          <w:p w:rsidR="00A223CA" w:rsidRPr="00A223CA" w:rsidRDefault="00A223CA" w:rsidP="006839A6">
            <w:pPr>
              <w:jc w:val="center"/>
            </w:pPr>
            <w:r w:rsidRPr="00A223CA">
              <w:t>1,305</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3 bedroom (1190 sq. ft.)</w:t>
            </w:r>
          </w:p>
        </w:tc>
        <w:tc>
          <w:tcPr>
            <w:tcW w:w="1280" w:type="dxa"/>
            <w:noWrap/>
            <w:hideMark/>
          </w:tcPr>
          <w:p w:rsidR="00A223CA" w:rsidRPr="00A223CA" w:rsidRDefault="00A223CA" w:rsidP="006839A6">
            <w:pPr>
              <w:jc w:val="center"/>
            </w:pPr>
            <w:r w:rsidRPr="00A223CA">
              <w:t>1,390</w:t>
            </w:r>
          </w:p>
        </w:tc>
        <w:tc>
          <w:tcPr>
            <w:tcW w:w="1280" w:type="dxa"/>
            <w:noWrap/>
            <w:hideMark/>
          </w:tcPr>
          <w:p w:rsidR="00A223CA" w:rsidRPr="00A223CA" w:rsidRDefault="00A223CA" w:rsidP="006839A6">
            <w:pPr>
              <w:jc w:val="center"/>
            </w:pPr>
            <w:r w:rsidRPr="00A223CA">
              <w:t>1,360</w:t>
            </w:r>
          </w:p>
        </w:tc>
        <w:tc>
          <w:tcPr>
            <w:tcW w:w="1280" w:type="dxa"/>
            <w:noWrap/>
            <w:hideMark/>
          </w:tcPr>
          <w:p w:rsidR="00A223CA" w:rsidRPr="00A223CA" w:rsidRDefault="00A223CA" w:rsidP="006839A6">
            <w:pPr>
              <w:jc w:val="center"/>
            </w:pPr>
            <w:r w:rsidRPr="00A223CA">
              <w:t>1,360</w:t>
            </w:r>
          </w:p>
        </w:tc>
        <w:tc>
          <w:tcPr>
            <w:tcW w:w="1280" w:type="dxa"/>
            <w:noWrap/>
            <w:hideMark/>
          </w:tcPr>
          <w:p w:rsidR="00A223CA" w:rsidRPr="00A223CA" w:rsidRDefault="00A223CA" w:rsidP="006839A6">
            <w:pPr>
              <w:jc w:val="center"/>
            </w:pPr>
            <w:r w:rsidRPr="00A223CA">
              <w:t>1,360</w:t>
            </w:r>
          </w:p>
        </w:tc>
        <w:tc>
          <w:tcPr>
            <w:tcW w:w="1280" w:type="dxa"/>
            <w:noWrap/>
            <w:hideMark/>
          </w:tcPr>
          <w:p w:rsidR="00A223CA" w:rsidRPr="00A223CA" w:rsidRDefault="00A223CA" w:rsidP="006839A6">
            <w:pPr>
              <w:jc w:val="center"/>
            </w:pPr>
            <w:r w:rsidRPr="00A223CA">
              <w:t>1,240</w:t>
            </w:r>
          </w:p>
        </w:tc>
      </w:tr>
      <w:tr w:rsidR="00A223CA" w:rsidRPr="00A223CA" w:rsidTr="006839A6">
        <w:trPr>
          <w:trHeight w:val="20"/>
        </w:trPr>
        <w:tc>
          <w:tcPr>
            <w:tcW w:w="3220" w:type="dxa"/>
            <w:noWrap/>
            <w:hideMark/>
          </w:tcPr>
          <w:p w:rsidR="00A223CA" w:rsidRPr="006839A6" w:rsidRDefault="00A223CA" w:rsidP="006839A6">
            <w:pPr>
              <w:rPr>
                <w:b/>
              </w:rPr>
            </w:pPr>
            <w:r w:rsidRPr="006839A6">
              <w:rPr>
                <w:b/>
              </w:rPr>
              <w:t>3 bedroom (1424 sq. ft.)</w:t>
            </w:r>
          </w:p>
        </w:tc>
        <w:tc>
          <w:tcPr>
            <w:tcW w:w="1280" w:type="dxa"/>
            <w:noWrap/>
            <w:hideMark/>
          </w:tcPr>
          <w:p w:rsidR="00A223CA" w:rsidRPr="00A223CA" w:rsidRDefault="00A223CA" w:rsidP="006839A6">
            <w:pPr>
              <w:jc w:val="center"/>
            </w:pPr>
            <w:r w:rsidRPr="00A223CA">
              <w:t>1,500</w:t>
            </w:r>
          </w:p>
        </w:tc>
        <w:tc>
          <w:tcPr>
            <w:tcW w:w="1280" w:type="dxa"/>
            <w:noWrap/>
            <w:hideMark/>
          </w:tcPr>
          <w:p w:rsidR="00A223CA" w:rsidRPr="00A223CA" w:rsidRDefault="00A223CA" w:rsidP="006839A6">
            <w:pPr>
              <w:jc w:val="center"/>
            </w:pPr>
            <w:r w:rsidRPr="00A223CA">
              <w:t>1,450</w:t>
            </w:r>
          </w:p>
        </w:tc>
        <w:tc>
          <w:tcPr>
            <w:tcW w:w="1280" w:type="dxa"/>
            <w:noWrap/>
            <w:hideMark/>
          </w:tcPr>
          <w:p w:rsidR="00A223CA" w:rsidRPr="00A223CA" w:rsidRDefault="00A223CA" w:rsidP="006839A6">
            <w:pPr>
              <w:jc w:val="center"/>
            </w:pPr>
            <w:r w:rsidRPr="00A223CA">
              <w:t>1,450</w:t>
            </w:r>
          </w:p>
        </w:tc>
        <w:tc>
          <w:tcPr>
            <w:tcW w:w="1280" w:type="dxa"/>
            <w:noWrap/>
            <w:hideMark/>
          </w:tcPr>
          <w:p w:rsidR="00A223CA" w:rsidRPr="00A223CA" w:rsidRDefault="00A223CA" w:rsidP="006839A6">
            <w:pPr>
              <w:jc w:val="center"/>
            </w:pPr>
            <w:r w:rsidRPr="00A223CA">
              <w:t>1,450</w:t>
            </w:r>
          </w:p>
        </w:tc>
        <w:tc>
          <w:tcPr>
            <w:tcW w:w="1280" w:type="dxa"/>
            <w:noWrap/>
            <w:hideMark/>
          </w:tcPr>
          <w:p w:rsidR="00A223CA" w:rsidRPr="00A223CA" w:rsidRDefault="00A223CA" w:rsidP="006839A6">
            <w:pPr>
              <w:jc w:val="center"/>
            </w:pPr>
            <w:r w:rsidRPr="00A223CA">
              <w:t>1,450</w:t>
            </w:r>
          </w:p>
        </w:tc>
      </w:tr>
      <w:tr w:rsidR="00A223CA" w:rsidRPr="00A223CA" w:rsidTr="006839A6">
        <w:trPr>
          <w:trHeight w:val="20"/>
        </w:trPr>
        <w:tc>
          <w:tcPr>
            <w:tcW w:w="3220" w:type="dxa"/>
            <w:noWrap/>
            <w:hideMark/>
          </w:tcPr>
          <w:p w:rsidR="00A223CA" w:rsidRPr="00A223CA" w:rsidRDefault="00A223CA" w:rsidP="006839A6">
            <w:pPr>
              <w:rPr>
                <w:b/>
                <w:bCs/>
              </w:rPr>
            </w:pPr>
            <w:r w:rsidRPr="00A223CA">
              <w:rPr>
                <w:b/>
                <w:bCs/>
              </w:rPr>
              <w:t> </w:t>
            </w:r>
          </w:p>
        </w:tc>
        <w:tc>
          <w:tcPr>
            <w:tcW w:w="1280" w:type="dxa"/>
            <w:noWrap/>
            <w:hideMark/>
          </w:tcPr>
          <w:p w:rsidR="00A223CA" w:rsidRPr="00A223CA" w:rsidRDefault="00A223CA" w:rsidP="006839A6">
            <w:pPr>
              <w:jc w:val="center"/>
              <w:rPr>
                <w:b/>
                <w:bCs/>
              </w:rPr>
            </w:pPr>
          </w:p>
        </w:tc>
        <w:tc>
          <w:tcPr>
            <w:tcW w:w="1280" w:type="dxa"/>
            <w:noWrap/>
            <w:hideMark/>
          </w:tcPr>
          <w:p w:rsidR="00A223CA" w:rsidRPr="00A223CA" w:rsidRDefault="00A223CA" w:rsidP="006839A6">
            <w:pPr>
              <w:jc w:val="center"/>
              <w:rPr>
                <w:b/>
                <w:bCs/>
              </w:rPr>
            </w:pPr>
          </w:p>
        </w:tc>
        <w:tc>
          <w:tcPr>
            <w:tcW w:w="1280" w:type="dxa"/>
            <w:noWrap/>
            <w:hideMark/>
          </w:tcPr>
          <w:p w:rsidR="00A223CA" w:rsidRPr="00A223CA" w:rsidRDefault="00A223CA" w:rsidP="006839A6">
            <w:pPr>
              <w:jc w:val="center"/>
              <w:rPr>
                <w:b/>
                <w:bCs/>
              </w:rPr>
            </w:pPr>
          </w:p>
        </w:tc>
        <w:tc>
          <w:tcPr>
            <w:tcW w:w="1280" w:type="dxa"/>
            <w:noWrap/>
            <w:hideMark/>
          </w:tcPr>
          <w:p w:rsidR="00A223CA" w:rsidRPr="00A223CA" w:rsidRDefault="00A223CA" w:rsidP="006839A6">
            <w:pPr>
              <w:jc w:val="center"/>
              <w:rPr>
                <w:b/>
                <w:bCs/>
              </w:rPr>
            </w:pPr>
          </w:p>
        </w:tc>
        <w:tc>
          <w:tcPr>
            <w:tcW w:w="1280" w:type="dxa"/>
            <w:noWrap/>
            <w:hideMark/>
          </w:tcPr>
          <w:p w:rsidR="00A223CA" w:rsidRPr="00A223CA" w:rsidRDefault="00A223CA" w:rsidP="006839A6">
            <w:pPr>
              <w:jc w:val="center"/>
              <w:rPr>
                <w:b/>
                <w:bCs/>
              </w:rPr>
            </w:pPr>
          </w:p>
        </w:tc>
      </w:tr>
      <w:tr w:rsidR="00A223CA" w:rsidRPr="00A223CA" w:rsidTr="006839A6">
        <w:trPr>
          <w:trHeight w:val="20"/>
        </w:trPr>
        <w:tc>
          <w:tcPr>
            <w:tcW w:w="3220" w:type="dxa"/>
            <w:noWrap/>
            <w:hideMark/>
          </w:tcPr>
          <w:p w:rsidR="00A223CA" w:rsidRPr="006839A6" w:rsidRDefault="00A223CA" w:rsidP="006839A6">
            <w:pPr>
              <w:rPr>
                <w:bCs/>
              </w:rPr>
            </w:pPr>
            <w:r w:rsidRPr="006839A6">
              <w:rPr>
                <w:bCs/>
              </w:rPr>
              <w:t>The Village Apartments</w:t>
            </w:r>
          </w:p>
        </w:tc>
        <w:tc>
          <w:tcPr>
            <w:tcW w:w="2560" w:type="dxa"/>
            <w:gridSpan w:val="2"/>
            <w:noWrap/>
            <w:hideMark/>
          </w:tcPr>
          <w:p w:rsidR="00A223CA" w:rsidRPr="00A223CA" w:rsidRDefault="00A223CA" w:rsidP="006839A6">
            <w:pPr>
              <w:jc w:val="center"/>
              <w:rPr>
                <w:b/>
                <w:bCs/>
              </w:rPr>
            </w:pPr>
            <w:r w:rsidRPr="00A223CA">
              <w:rPr>
                <w:b/>
                <w:bCs/>
              </w:rPr>
              <w:t>(575) 628-0033</w:t>
            </w:r>
          </w:p>
        </w:tc>
        <w:tc>
          <w:tcPr>
            <w:tcW w:w="2560" w:type="dxa"/>
            <w:gridSpan w:val="2"/>
            <w:noWrap/>
            <w:hideMark/>
          </w:tcPr>
          <w:p w:rsidR="00A223CA" w:rsidRPr="00A223CA" w:rsidRDefault="00A223CA" w:rsidP="006839A6">
            <w:pPr>
              <w:jc w:val="center"/>
              <w:rPr>
                <w:b/>
                <w:bCs/>
              </w:rPr>
            </w:pPr>
            <w:r w:rsidRPr="00A223CA">
              <w:rPr>
                <w:b/>
                <w:bCs/>
              </w:rPr>
              <w:t>3821 National Parks Hwy.</w:t>
            </w:r>
          </w:p>
        </w:tc>
        <w:tc>
          <w:tcPr>
            <w:tcW w:w="1280" w:type="dxa"/>
            <w:noWrap/>
            <w:hideMark/>
          </w:tcPr>
          <w:p w:rsidR="00A223CA" w:rsidRPr="00A223CA" w:rsidRDefault="00A223CA" w:rsidP="006839A6">
            <w:pPr>
              <w:jc w:val="center"/>
              <w:rPr>
                <w:b/>
                <w:bCs/>
              </w:rPr>
            </w:pPr>
            <w:r w:rsidRPr="00A223CA">
              <w:rPr>
                <w:b/>
                <w:bCs/>
              </w:rPr>
              <w:t>est. 2012</w:t>
            </w:r>
          </w:p>
        </w:tc>
      </w:tr>
      <w:tr w:rsidR="00A223CA" w:rsidRPr="00A223CA" w:rsidTr="006839A6">
        <w:trPr>
          <w:trHeight w:val="20"/>
        </w:trPr>
        <w:tc>
          <w:tcPr>
            <w:tcW w:w="3220" w:type="dxa"/>
            <w:noWrap/>
            <w:hideMark/>
          </w:tcPr>
          <w:p w:rsidR="00A223CA" w:rsidRPr="00A223CA" w:rsidRDefault="00A223CA" w:rsidP="006839A6">
            <w:pPr>
              <w:rPr>
                <w:b/>
                <w:bCs/>
              </w:rPr>
            </w:pPr>
            <w:r w:rsidRPr="00A223CA">
              <w:rPr>
                <w:b/>
                <w:bCs/>
              </w:rPr>
              <w:t> </w:t>
            </w:r>
          </w:p>
        </w:tc>
        <w:tc>
          <w:tcPr>
            <w:tcW w:w="1280" w:type="dxa"/>
            <w:noWrap/>
            <w:hideMark/>
          </w:tcPr>
          <w:p w:rsidR="00A223CA" w:rsidRPr="00A223CA" w:rsidRDefault="00A223CA" w:rsidP="006839A6">
            <w:pPr>
              <w:jc w:val="center"/>
              <w:rPr>
                <w:b/>
                <w:bCs/>
              </w:rPr>
            </w:pPr>
            <w:proofErr w:type="spellStart"/>
            <w:r w:rsidRPr="00A223CA">
              <w:rPr>
                <w:b/>
                <w:bCs/>
              </w:rPr>
              <w:t>sep</w:t>
            </w:r>
            <w:proofErr w:type="spellEnd"/>
          </w:p>
        </w:tc>
        <w:tc>
          <w:tcPr>
            <w:tcW w:w="1280" w:type="dxa"/>
            <w:noWrap/>
            <w:hideMark/>
          </w:tcPr>
          <w:p w:rsidR="00A223CA" w:rsidRPr="00A223CA" w:rsidRDefault="00A223CA" w:rsidP="006839A6">
            <w:pPr>
              <w:jc w:val="center"/>
              <w:rPr>
                <w:b/>
                <w:bCs/>
              </w:rPr>
            </w:pPr>
            <w:r w:rsidRPr="00A223CA">
              <w:rPr>
                <w:b/>
                <w:bCs/>
              </w:rPr>
              <w:t>may</w:t>
            </w:r>
          </w:p>
        </w:tc>
        <w:tc>
          <w:tcPr>
            <w:tcW w:w="1280" w:type="dxa"/>
            <w:noWrap/>
            <w:hideMark/>
          </w:tcPr>
          <w:p w:rsidR="00A223CA" w:rsidRPr="00A223CA" w:rsidRDefault="00A223CA" w:rsidP="006839A6">
            <w:pPr>
              <w:jc w:val="center"/>
              <w:rPr>
                <w:b/>
                <w:bCs/>
              </w:rPr>
            </w:pPr>
            <w:proofErr w:type="spellStart"/>
            <w:r w:rsidRPr="00A223CA">
              <w:rPr>
                <w:b/>
                <w:bCs/>
              </w:rPr>
              <w:t>jul</w:t>
            </w:r>
            <w:proofErr w:type="spellEnd"/>
          </w:p>
        </w:tc>
        <w:tc>
          <w:tcPr>
            <w:tcW w:w="1280" w:type="dxa"/>
            <w:noWrap/>
            <w:hideMark/>
          </w:tcPr>
          <w:p w:rsidR="00A223CA" w:rsidRPr="00A223CA" w:rsidRDefault="00A223CA" w:rsidP="006839A6">
            <w:pPr>
              <w:jc w:val="center"/>
              <w:rPr>
                <w:b/>
                <w:bCs/>
              </w:rPr>
            </w:pPr>
            <w:r w:rsidRPr="00A223CA">
              <w:rPr>
                <w:b/>
                <w:bCs/>
              </w:rPr>
              <w:t>mar</w:t>
            </w:r>
          </w:p>
        </w:tc>
        <w:tc>
          <w:tcPr>
            <w:tcW w:w="1280" w:type="dxa"/>
            <w:noWrap/>
            <w:hideMark/>
          </w:tcPr>
          <w:p w:rsidR="00A223CA" w:rsidRPr="00A223CA" w:rsidRDefault="00A223CA" w:rsidP="006839A6">
            <w:pPr>
              <w:jc w:val="center"/>
              <w:rPr>
                <w:b/>
                <w:bCs/>
              </w:rPr>
            </w:pPr>
            <w:r w:rsidRPr="00A223CA">
              <w:rPr>
                <w:b/>
                <w:bCs/>
              </w:rPr>
              <w:t>may</w:t>
            </w:r>
          </w:p>
        </w:tc>
      </w:tr>
      <w:tr w:rsidR="006839A6" w:rsidRPr="00A223CA" w:rsidTr="006839A6">
        <w:trPr>
          <w:trHeight w:val="20"/>
        </w:trPr>
        <w:tc>
          <w:tcPr>
            <w:tcW w:w="3220" w:type="dxa"/>
            <w:noWrap/>
            <w:hideMark/>
          </w:tcPr>
          <w:p w:rsidR="006839A6" w:rsidRPr="006839A6" w:rsidRDefault="006839A6" w:rsidP="006839A6">
            <w:pPr>
              <w:rPr>
                <w:b/>
              </w:rPr>
            </w:pPr>
            <w:r w:rsidRPr="006839A6">
              <w:rPr>
                <w:b/>
              </w:rPr>
              <w:t>1 bedroom (671 sq. ft.)</w:t>
            </w:r>
          </w:p>
        </w:tc>
        <w:tc>
          <w:tcPr>
            <w:tcW w:w="1280" w:type="dxa"/>
            <w:noWrap/>
            <w:hideMark/>
          </w:tcPr>
          <w:p w:rsidR="006839A6" w:rsidRPr="00A223CA" w:rsidRDefault="006839A6" w:rsidP="006839A6">
            <w:pPr>
              <w:jc w:val="center"/>
            </w:pPr>
            <w:r w:rsidRPr="00A223CA">
              <w:t>850</w:t>
            </w:r>
          </w:p>
        </w:tc>
        <w:tc>
          <w:tcPr>
            <w:tcW w:w="1280" w:type="dxa"/>
            <w:noWrap/>
            <w:hideMark/>
          </w:tcPr>
          <w:p w:rsidR="006839A6" w:rsidRPr="00A223CA" w:rsidRDefault="006839A6" w:rsidP="006839A6">
            <w:pPr>
              <w:jc w:val="center"/>
            </w:pPr>
            <w:r w:rsidRPr="00A223CA">
              <w:t>850</w:t>
            </w:r>
          </w:p>
        </w:tc>
        <w:tc>
          <w:tcPr>
            <w:tcW w:w="1280" w:type="dxa"/>
            <w:noWrap/>
            <w:hideMark/>
          </w:tcPr>
          <w:p w:rsidR="006839A6" w:rsidRPr="00A223CA" w:rsidRDefault="006839A6" w:rsidP="006839A6">
            <w:pPr>
              <w:jc w:val="center"/>
            </w:pPr>
            <w:r w:rsidRPr="00A223CA">
              <w:t>975</w:t>
            </w:r>
          </w:p>
        </w:tc>
        <w:tc>
          <w:tcPr>
            <w:tcW w:w="1280" w:type="dxa"/>
            <w:noWrap/>
            <w:hideMark/>
          </w:tcPr>
          <w:p w:rsidR="006839A6" w:rsidRPr="00A223CA" w:rsidRDefault="006839A6" w:rsidP="006839A6">
            <w:pPr>
              <w:jc w:val="center"/>
            </w:pPr>
            <w:r w:rsidRPr="00A223CA">
              <w:t>975</w:t>
            </w:r>
          </w:p>
        </w:tc>
        <w:tc>
          <w:tcPr>
            <w:tcW w:w="1280" w:type="dxa"/>
            <w:noWrap/>
            <w:hideMark/>
          </w:tcPr>
          <w:p w:rsidR="006839A6" w:rsidRPr="00A223CA" w:rsidRDefault="006839A6" w:rsidP="006839A6">
            <w:pPr>
              <w:jc w:val="center"/>
            </w:pPr>
            <w:r w:rsidRPr="00A223CA">
              <w:t>950</w:t>
            </w:r>
          </w:p>
        </w:tc>
      </w:tr>
      <w:tr w:rsidR="006839A6" w:rsidRPr="00A223CA" w:rsidTr="006839A6">
        <w:trPr>
          <w:trHeight w:val="20"/>
        </w:trPr>
        <w:tc>
          <w:tcPr>
            <w:tcW w:w="3220" w:type="dxa"/>
            <w:noWrap/>
            <w:hideMark/>
          </w:tcPr>
          <w:p w:rsidR="006839A6" w:rsidRPr="006839A6" w:rsidRDefault="006839A6" w:rsidP="006839A6">
            <w:pPr>
              <w:rPr>
                <w:b/>
              </w:rPr>
            </w:pPr>
            <w:r w:rsidRPr="006839A6">
              <w:rPr>
                <w:b/>
              </w:rPr>
              <w:t>2 bedroom (766 sq. ft.)</w:t>
            </w:r>
          </w:p>
        </w:tc>
        <w:tc>
          <w:tcPr>
            <w:tcW w:w="1280" w:type="dxa"/>
            <w:noWrap/>
            <w:hideMark/>
          </w:tcPr>
          <w:p w:rsidR="006839A6" w:rsidRPr="00A223CA" w:rsidRDefault="006839A6" w:rsidP="006839A6">
            <w:pPr>
              <w:jc w:val="center"/>
            </w:pPr>
            <w:r w:rsidRPr="00A223CA">
              <w:t>950</w:t>
            </w:r>
          </w:p>
        </w:tc>
        <w:tc>
          <w:tcPr>
            <w:tcW w:w="1280" w:type="dxa"/>
            <w:noWrap/>
            <w:hideMark/>
          </w:tcPr>
          <w:p w:rsidR="006839A6" w:rsidRPr="00A223CA" w:rsidRDefault="006839A6" w:rsidP="006839A6">
            <w:pPr>
              <w:jc w:val="center"/>
            </w:pPr>
            <w:r w:rsidRPr="00A223CA">
              <w:t>950</w:t>
            </w:r>
          </w:p>
        </w:tc>
        <w:tc>
          <w:tcPr>
            <w:tcW w:w="1280" w:type="dxa"/>
            <w:noWrap/>
            <w:hideMark/>
          </w:tcPr>
          <w:p w:rsidR="006839A6" w:rsidRPr="00A223CA" w:rsidRDefault="006839A6" w:rsidP="006839A6">
            <w:pPr>
              <w:jc w:val="center"/>
            </w:pPr>
            <w:r w:rsidRPr="00A223CA">
              <w:t>1,025</w:t>
            </w:r>
          </w:p>
        </w:tc>
        <w:tc>
          <w:tcPr>
            <w:tcW w:w="1280" w:type="dxa"/>
            <w:noWrap/>
            <w:hideMark/>
          </w:tcPr>
          <w:p w:rsidR="006839A6" w:rsidRPr="00A223CA" w:rsidRDefault="006839A6" w:rsidP="006839A6">
            <w:pPr>
              <w:jc w:val="center"/>
            </w:pPr>
            <w:r w:rsidRPr="00A223CA">
              <w:t>1,025</w:t>
            </w:r>
          </w:p>
        </w:tc>
        <w:tc>
          <w:tcPr>
            <w:tcW w:w="1280" w:type="dxa"/>
            <w:noWrap/>
            <w:hideMark/>
          </w:tcPr>
          <w:p w:rsidR="006839A6" w:rsidRPr="00A223CA" w:rsidRDefault="006839A6" w:rsidP="006839A6">
            <w:pPr>
              <w:jc w:val="center"/>
            </w:pPr>
            <w:r w:rsidRPr="00A223CA">
              <w:t>1,000</w:t>
            </w:r>
          </w:p>
        </w:tc>
      </w:tr>
      <w:tr w:rsidR="006839A6" w:rsidRPr="00A223CA" w:rsidTr="006839A6">
        <w:trPr>
          <w:trHeight w:val="20"/>
        </w:trPr>
        <w:tc>
          <w:tcPr>
            <w:tcW w:w="3220" w:type="dxa"/>
            <w:noWrap/>
            <w:hideMark/>
          </w:tcPr>
          <w:p w:rsidR="006839A6" w:rsidRPr="006839A6" w:rsidRDefault="006839A6" w:rsidP="006839A6">
            <w:pPr>
              <w:rPr>
                <w:b/>
              </w:rPr>
            </w:pPr>
            <w:r w:rsidRPr="006839A6">
              <w:rPr>
                <w:b/>
              </w:rPr>
              <w:t>2 bedroom (901 sq. ft.)</w:t>
            </w:r>
          </w:p>
        </w:tc>
        <w:tc>
          <w:tcPr>
            <w:tcW w:w="1280" w:type="dxa"/>
            <w:noWrap/>
            <w:hideMark/>
          </w:tcPr>
          <w:p w:rsidR="006839A6" w:rsidRPr="00A223CA" w:rsidRDefault="006839A6" w:rsidP="006839A6">
            <w:pPr>
              <w:jc w:val="center"/>
            </w:pPr>
            <w:r w:rsidRPr="00A223CA">
              <w:t>1,075</w:t>
            </w:r>
          </w:p>
        </w:tc>
        <w:tc>
          <w:tcPr>
            <w:tcW w:w="1280" w:type="dxa"/>
            <w:noWrap/>
            <w:hideMark/>
          </w:tcPr>
          <w:p w:rsidR="006839A6" w:rsidRPr="00A223CA" w:rsidRDefault="006839A6" w:rsidP="006839A6">
            <w:pPr>
              <w:jc w:val="center"/>
            </w:pPr>
            <w:r w:rsidRPr="00A223CA">
              <w:t>1,075</w:t>
            </w:r>
          </w:p>
        </w:tc>
        <w:tc>
          <w:tcPr>
            <w:tcW w:w="1280" w:type="dxa"/>
            <w:noWrap/>
            <w:hideMark/>
          </w:tcPr>
          <w:p w:rsidR="006839A6" w:rsidRPr="00A223CA" w:rsidRDefault="006839A6" w:rsidP="006839A6">
            <w:pPr>
              <w:jc w:val="center"/>
            </w:pPr>
            <w:r w:rsidRPr="00A223CA">
              <w:t>1,175</w:t>
            </w:r>
          </w:p>
        </w:tc>
        <w:tc>
          <w:tcPr>
            <w:tcW w:w="1280" w:type="dxa"/>
            <w:noWrap/>
            <w:hideMark/>
          </w:tcPr>
          <w:p w:rsidR="006839A6" w:rsidRPr="00A223CA" w:rsidRDefault="006839A6" w:rsidP="006839A6">
            <w:pPr>
              <w:jc w:val="center"/>
            </w:pPr>
            <w:r w:rsidRPr="00A223CA">
              <w:t>1,175</w:t>
            </w:r>
          </w:p>
        </w:tc>
        <w:tc>
          <w:tcPr>
            <w:tcW w:w="1280" w:type="dxa"/>
            <w:noWrap/>
            <w:hideMark/>
          </w:tcPr>
          <w:p w:rsidR="006839A6" w:rsidRPr="00A223CA" w:rsidRDefault="006839A6" w:rsidP="006839A6">
            <w:pPr>
              <w:jc w:val="center"/>
            </w:pPr>
            <w:r w:rsidRPr="00A223CA">
              <w:t>1,150</w:t>
            </w:r>
          </w:p>
        </w:tc>
      </w:tr>
      <w:tr w:rsidR="006839A6" w:rsidRPr="00A223CA" w:rsidTr="006839A6">
        <w:trPr>
          <w:trHeight w:val="20"/>
        </w:trPr>
        <w:tc>
          <w:tcPr>
            <w:tcW w:w="3220" w:type="dxa"/>
            <w:noWrap/>
            <w:hideMark/>
          </w:tcPr>
          <w:p w:rsidR="006839A6" w:rsidRPr="006839A6" w:rsidRDefault="006839A6" w:rsidP="006839A6">
            <w:pPr>
              <w:rPr>
                <w:b/>
              </w:rPr>
            </w:pPr>
            <w:r w:rsidRPr="006839A6">
              <w:rPr>
                <w:b/>
              </w:rPr>
              <w:t>2 bedroom (1001 sq. ft.)</w:t>
            </w:r>
          </w:p>
        </w:tc>
        <w:tc>
          <w:tcPr>
            <w:tcW w:w="1280" w:type="dxa"/>
            <w:noWrap/>
            <w:hideMark/>
          </w:tcPr>
          <w:p w:rsidR="006839A6" w:rsidRPr="00A223CA" w:rsidRDefault="006839A6" w:rsidP="006839A6">
            <w:pPr>
              <w:jc w:val="center"/>
            </w:pPr>
            <w:r w:rsidRPr="00A223CA">
              <w:t>1,150</w:t>
            </w:r>
          </w:p>
        </w:tc>
        <w:tc>
          <w:tcPr>
            <w:tcW w:w="1280" w:type="dxa"/>
            <w:noWrap/>
            <w:hideMark/>
          </w:tcPr>
          <w:p w:rsidR="006839A6" w:rsidRPr="00A223CA" w:rsidRDefault="006839A6" w:rsidP="006839A6">
            <w:pPr>
              <w:jc w:val="center"/>
            </w:pPr>
            <w:r w:rsidRPr="00A223CA">
              <w:t>1,150</w:t>
            </w:r>
          </w:p>
        </w:tc>
        <w:tc>
          <w:tcPr>
            <w:tcW w:w="1280" w:type="dxa"/>
            <w:noWrap/>
            <w:hideMark/>
          </w:tcPr>
          <w:p w:rsidR="006839A6" w:rsidRPr="00A223CA" w:rsidRDefault="006839A6" w:rsidP="006839A6">
            <w:pPr>
              <w:jc w:val="center"/>
            </w:pPr>
            <w:r w:rsidRPr="00A223CA">
              <w:t>1,200</w:t>
            </w:r>
          </w:p>
        </w:tc>
        <w:tc>
          <w:tcPr>
            <w:tcW w:w="1280" w:type="dxa"/>
            <w:noWrap/>
            <w:hideMark/>
          </w:tcPr>
          <w:p w:rsidR="006839A6" w:rsidRPr="00A223CA" w:rsidRDefault="006839A6" w:rsidP="006839A6">
            <w:pPr>
              <w:jc w:val="center"/>
            </w:pPr>
            <w:r w:rsidRPr="00A223CA">
              <w:t>1,200</w:t>
            </w:r>
          </w:p>
        </w:tc>
        <w:tc>
          <w:tcPr>
            <w:tcW w:w="1280" w:type="dxa"/>
            <w:noWrap/>
            <w:hideMark/>
          </w:tcPr>
          <w:p w:rsidR="006839A6" w:rsidRPr="00A223CA" w:rsidRDefault="006839A6" w:rsidP="006839A6">
            <w:pPr>
              <w:jc w:val="center"/>
            </w:pPr>
            <w:r w:rsidRPr="00A223CA">
              <w:t>1,175</w:t>
            </w:r>
          </w:p>
        </w:tc>
      </w:tr>
    </w:tbl>
    <w:p w:rsidR="00A223CA" w:rsidRPr="00A43B3C" w:rsidRDefault="00A43B3C">
      <w:pPr>
        <w:rPr>
          <w:sz w:val="18"/>
        </w:rPr>
      </w:pPr>
      <w:r w:rsidRPr="00A43B3C">
        <w:rPr>
          <w:sz w:val="18"/>
        </w:rPr>
        <w:t>Source: Carlsbad Department of Development</w:t>
      </w:r>
    </w:p>
    <w:p w:rsidR="003401DC" w:rsidRDefault="003401DC">
      <w:r>
        <w:t>As table 3 below demonstrates, the median price of houses sold in Eddy County has risen steadily</w:t>
      </w:r>
      <w:r w:rsidR="00B87BA0">
        <w:t xml:space="preserve"> from $130,000 in 2010</w:t>
      </w:r>
      <w:r>
        <w:t xml:space="preserve"> to $</w:t>
      </w:r>
      <w:r w:rsidR="0010624C">
        <w:t xml:space="preserve">165,000 </w:t>
      </w:r>
      <w:r>
        <w:t xml:space="preserve">in December 2017, despite the national recession and increase in housing units in the area. </w:t>
      </w:r>
    </w:p>
    <w:p w:rsidR="00677F83" w:rsidRDefault="00677F83"/>
    <w:p w:rsidR="00677F83" w:rsidRDefault="00677F83"/>
    <w:p w:rsidR="00677F83" w:rsidRDefault="00677F83"/>
    <w:p w:rsidR="00677F83" w:rsidRDefault="00677F83"/>
    <w:p w:rsidR="00677F83" w:rsidRDefault="00677F83"/>
    <w:p w:rsidR="00677F83" w:rsidRDefault="00677F83"/>
    <w:p w:rsidR="003401DC" w:rsidRPr="00A43B3C" w:rsidRDefault="003401DC">
      <w:pPr>
        <w:rPr>
          <w:b/>
        </w:rPr>
      </w:pPr>
      <w:r w:rsidRPr="00A43B3C">
        <w:rPr>
          <w:b/>
        </w:rPr>
        <w:lastRenderedPageBreak/>
        <w:t xml:space="preserve">Table 3. Housing </w:t>
      </w:r>
      <w:r w:rsidR="00B87BA0">
        <w:rPr>
          <w:b/>
        </w:rPr>
        <w:t>Units Sold in Eddy County 2010</w:t>
      </w:r>
      <w:r w:rsidRPr="00A43B3C">
        <w:rPr>
          <w:b/>
        </w:rPr>
        <w:t>-2017</w:t>
      </w:r>
    </w:p>
    <w:tbl>
      <w:tblPr>
        <w:tblStyle w:val="TableGrid"/>
        <w:tblW w:w="10183" w:type="dxa"/>
        <w:tblLook w:val="04A0" w:firstRow="1" w:lastRow="0" w:firstColumn="1" w:lastColumn="0" w:noHBand="0" w:noVBand="1"/>
      </w:tblPr>
      <w:tblGrid>
        <w:gridCol w:w="1767"/>
        <w:gridCol w:w="1052"/>
        <w:gridCol w:w="1052"/>
        <w:gridCol w:w="1052"/>
        <w:gridCol w:w="1052"/>
        <w:gridCol w:w="1052"/>
        <w:gridCol w:w="1052"/>
        <w:gridCol w:w="1052"/>
        <w:gridCol w:w="1052"/>
      </w:tblGrid>
      <w:tr w:rsidR="00B87BA0" w:rsidRPr="00B87BA0" w:rsidTr="00B87BA0">
        <w:trPr>
          <w:trHeight w:val="593"/>
        </w:trPr>
        <w:tc>
          <w:tcPr>
            <w:tcW w:w="1767" w:type="dxa"/>
            <w:shd w:val="clear" w:color="auto" w:fill="000000" w:themeFill="text1"/>
            <w:vAlign w:val="center"/>
          </w:tcPr>
          <w:p w:rsidR="00B87BA0" w:rsidRPr="00B87BA0" w:rsidRDefault="00B87BA0" w:rsidP="00B87BA0">
            <w:pPr>
              <w:rPr>
                <w:i/>
              </w:rPr>
            </w:pPr>
            <w:r w:rsidRPr="00B87BA0">
              <w:rPr>
                <w:i/>
              </w:rPr>
              <w:t>Year</w:t>
            </w:r>
          </w:p>
        </w:tc>
        <w:tc>
          <w:tcPr>
            <w:tcW w:w="1052" w:type="dxa"/>
            <w:shd w:val="clear" w:color="auto" w:fill="000000" w:themeFill="text1"/>
            <w:vAlign w:val="center"/>
          </w:tcPr>
          <w:p w:rsidR="00B87BA0" w:rsidRPr="00B87BA0" w:rsidRDefault="00B87BA0" w:rsidP="00B87BA0">
            <w:pPr>
              <w:rPr>
                <w:i/>
              </w:rPr>
            </w:pPr>
            <w:r w:rsidRPr="00B87BA0">
              <w:rPr>
                <w:i/>
              </w:rPr>
              <w:t>2010</w:t>
            </w:r>
          </w:p>
        </w:tc>
        <w:tc>
          <w:tcPr>
            <w:tcW w:w="1052" w:type="dxa"/>
            <w:shd w:val="clear" w:color="auto" w:fill="000000" w:themeFill="text1"/>
            <w:vAlign w:val="center"/>
          </w:tcPr>
          <w:p w:rsidR="00B87BA0" w:rsidRPr="00B87BA0" w:rsidRDefault="00B87BA0" w:rsidP="00B87BA0">
            <w:pPr>
              <w:rPr>
                <w:i/>
              </w:rPr>
            </w:pPr>
            <w:r w:rsidRPr="00B87BA0">
              <w:rPr>
                <w:i/>
              </w:rPr>
              <w:t>2011</w:t>
            </w:r>
          </w:p>
        </w:tc>
        <w:tc>
          <w:tcPr>
            <w:tcW w:w="1052" w:type="dxa"/>
            <w:shd w:val="clear" w:color="auto" w:fill="000000" w:themeFill="text1"/>
            <w:vAlign w:val="center"/>
          </w:tcPr>
          <w:p w:rsidR="00B87BA0" w:rsidRPr="00B87BA0" w:rsidRDefault="00B87BA0" w:rsidP="00B87BA0">
            <w:pPr>
              <w:rPr>
                <w:i/>
              </w:rPr>
            </w:pPr>
            <w:r w:rsidRPr="00B87BA0">
              <w:rPr>
                <w:i/>
              </w:rPr>
              <w:t>2012</w:t>
            </w:r>
          </w:p>
        </w:tc>
        <w:tc>
          <w:tcPr>
            <w:tcW w:w="1052" w:type="dxa"/>
            <w:shd w:val="clear" w:color="auto" w:fill="000000" w:themeFill="text1"/>
            <w:vAlign w:val="center"/>
          </w:tcPr>
          <w:p w:rsidR="00B87BA0" w:rsidRPr="00B87BA0" w:rsidRDefault="00B87BA0" w:rsidP="00B87BA0">
            <w:pPr>
              <w:rPr>
                <w:i/>
              </w:rPr>
            </w:pPr>
            <w:r w:rsidRPr="00B87BA0">
              <w:rPr>
                <w:i/>
              </w:rPr>
              <w:t>2013</w:t>
            </w:r>
          </w:p>
        </w:tc>
        <w:tc>
          <w:tcPr>
            <w:tcW w:w="1052" w:type="dxa"/>
            <w:shd w:val="clear" w:color="auto" w:fill="000000" w:themeFill="text1"/>
            <w:vAlign w:val="center"/>
          </w:tcPr>
          <w:p w:rsidR="00B87BA0" w:rsidRPr="00B87BA0" w:rsidRDefault="00B87BA0" w:rsidP="00B87BA0">
            <w:pPr>
              <w:rPr>
                <w:i/>
              </w:rPr>
            </w:pPr>
            <w:r w:rsidRPr="00B87BA0">
              <w:rPr>
                <w:i/>
              </w:rPr>
              <w:t>2014</w:t>
            </w:r>
          </w:p>
        </w:tc>
        <w:tc>
          <w:tcPr>
            <w:tcW w:w="1052" w:type="dxa"/>
            <w:shd w:val="clear" w:color="auto" w:fill="000000" w:themeFill="text1"/>
            <w:vAlign w:val="center"/>
          </w:tcPr>
          <w:p w:rsidR="00B87BA0" w:rsidRPr="00B87BA0" w:rsidRDefault="00B87BA0" w:rsidP="00B87BA0">
            <w:pPr>
              <w:rPr>
                <w:i/>
              </w:rPr>
            </w:pPr>
            <w:r w:rsidRPr="00B87BA0">
              <w:rPr>
                <w:i/>
              </w:rPr>
              <w:t>2015</w:t>
            </w:r>
          </w:p>
        </w:tc>
        <w:tc>
          <w:tcPr>
            <w:tcW w:w="1052" w:type="dxa"/>
            <w:shd w:val="clear" w:color="auto" w:fill="000000" w:themeFill="text1"/>
            <w:vAlign w:val="center"/>
          </w:tcPr>
          <w:p w:rsidR="00B87BA0" w:rsidRPr="00B87BA0" w:rsidRDefault="00B87BA0" w:rsidP="00B87BA0">
            <w:pPr>
              <w:rPr>
                <w:i/>
              </w:rPr>
            </w:pPr>
            <w:r w:rsidRPr="00B87BA0">
              <w:rPr>
                <w:i/>
              </w:rPr>
              <w:t>2016</w:t>
            </w:r>
          </w:p>
        </w:tc>
        <w:tc>
          <w:tcPr>
            <w:tcW w:w="1052" w:type="dxa"/>
            <w:shd w:val="clear" w:color="auto" w:fill="000000" w:themeFill="text1"/>
            <w:vAlign w:val="center"/>
          </w:tcPr>
          <w:p w:rsidR="00B87BA0" w:rsidRPr="00B87BA0" w:rsidRDefault="00B87BA0" w:rsidP="00B87BA0">
            <w:pPr>
              <w:rPr>
                <w:i/>
              </w:rPr>
            </w:pPr>
            <w:r w:rsidRPr="00B87BA0">
              <w:rPr>
                <w:i/>
              </w:rPr>
              <w:t>Dec. 2017 YTD</w:t>
            </w:r>
          </w:p>
        </w:tc>
      </w:tr>
      <w:tr w:rsidR="00B87BA0" w:rsidTr="00B87BA0">
        <w:tc>
          <w:tcPr>
            <w:tcW w:w="1767" w:type="dxa"/>
          </w:tcPr>
          <w:p w:rsidR="00B87BA0" w:rsidRDefault="00B87BA0">
            <w:r>
              <w:t>Units Sold</w:t>
            </w:r>
          </w:p>
        </w:tc>
        <w:tc>
          <w:tcPr>
            <w:tcW w:w="1052" w:type="dxa"/>
          </w:tcPr>
          <w:p w:rsidR="00B87BA0" w:rsidRDefault="00B87BA0" w:rsidP="00B87BA0">
            <w:pPr>
              <w:jc w:val="right"/>
            </w:pPr>
            <w:r>
              <w:t>470</w:t>
            </w:r>
          </w:p>
        </w:tc>
        <w:tc>
          <w:tcPr>
            <w:tcW w:w="1052" w:type="dxa"/>
          </w:tcPr>
          <w:p w:rsidR="00B87BA0" w:rsidRDefault="00B87BA0" w:rsidP="00B87BA0">
            <w:pPr>
              <w:jc w:val="right"/>
            </w:pPr>
            <w:r>
              <w:t>462</w:t>
            </w:r>
          </w:p>
        </w:tc>
        <w:tc>
          <w:tcPr>
            <w:tcW w:w="1052" w:type="dxa"/>
          </w:tcPr>
          <w:p w:rsidR="00B87BA0" w:rsidRDefault="00B87BA0" w:rsidP="00B87BA0">
            <w:pPr>
              <w:jc w:val="right"/>
            </w:pPr>
            <w:r>
              <w:t>541</w:t>
            </w:r>
          </w:p>
        </w:tc>
        <w:tc>
          <w:tcPr>
            <w:tcW w:w="1052" w:type="dxa"/>
          </w:tcPr>
          <w:p w:rsidR="00B87BA0" w:rsidRDefault="00B87BA0" w:rsidP="00B87BA0">
            <w:pPr>
              <w:jc w:val="right"/>
            </w:pPr>
            <w:r>
              <w:t>548</w:t>
            </w:r>
          </w:p>
        </w:tc>
        <w:tc>
          <w:tcPr>
            <w:tcW w:w="1052" w:type="dxa"/>
          </w:tcPr>
          <w:p w:rsidR="00B87BA0" w:rsidRDefault="00B87BA0" w:rsidP="00B87BA0">
            <w:pPr>
              <w:jc w:val="right"/>
            </w:pPr>
            <w:r>
              <w:t>621</w:t>
            </w:r>
          </w:p>
        </w:tc>
        <w:tc>
          <w:tcPr>
            <w:tcW w:w="1052" w:type="dxa"/>
          </w:tcPr>
          <w:p w:rsidR="00B87BA0" w:rsidRDefault="00B87BA0" w:rsidP="00B87BA0">
            <w:pPr>
              <w:jc w:val="right"/>
            </w:pPr>
            <w:r>
              <w:t>451</w:t>
            </w:r>
          </w:p>
        </w:tc>
        <w:tc>
          <w:tcPr>
            <w:tcW w:w="1052" w:type="dxa"/>
          </w:tcPr>
          <w:p w:rsidR="00B87BA0" w:rsidRDefault="00B87BA0" w:rsidP="00B87BA0">
            <w:pPr>
              <w:jc w:val="right"/>
            </w:pPr>
            <w:r>
              <w:t>377</w:t>
            </w:r>
          </w:p>
        </w:tc>
        <w:tc>
          <w:tcPr>
            <w:tcW w:w="1052" w:type="dxa"/>
          </w:tcPr>
          <w:p w:rsidR="00B87BA0" w:rsidRDefault="00B87BA0" w:rsidP="00B87BA0">
            <w:pPr>
              <w:jc w:val="right"/>
            </w:pPr>
            <w:r>
              <w:t>369</w:t>
            </w:r>
          </w:p>
        </w:tc>
      </w:tr>
      <w:tr w:rsidR="00B87BA0" w:rsidTr="00B87BA0">
        <w:tc>
          <w:tcPr>
            <w:tcW w:w="1767" w:type="dxa"/>
          </w:tcPr>
          <w:p w:rsidR="00B87BA0" w:rsidRDefault="00B87BA0">
            <w:r>
              <w:t>% Change from previous year</w:t>
            </w:r>
          </w:p>
        </w:tc>
        <w:tc>
          <w:tcPr>
            <w:tcW w:w="1052" w:type="dxa"/>
          </w:tcPr>
          <w:p w:rsidR="00B87BA0" w:rsidRDefault="00B87BA0" w:rsidP="00B87BA0">
            <w:pPr>
              <w:jc w:val="right"/>
            </w:pPr>
            <w:r>
              <w:t>7.3%</w:t>
            </w:r>
          </w:p>
        </w:tc>
        <w:tc>
          <w:tcPr>
            <w:tcW w:w="1052" w:type="dxa"/>
          </w:tcPr>
          <w:p w:rsidR="00B87BA0" w:rsidRDefault="00B87BA0" w:rsidP="00B87BA0">
            <w:pPr>
              <w:jc w:val="right"/>
            </w:pPr>
            <w:r>
              <w:t>(1.7%)</w:t>
            </w:r>
          </w:p>
        </w:tc>
        <w:tc>
          <w:tcPr>
            <w:tcW w:w="1052" w:type="dxa"/>
          </w:tcPr>
          <w:p w:rsidR="00B87BA0" w:rsidRDefault="00B87BA0" w:rsidP="00B87BA0">
            <w:pPr>
              <w:jc w:val="right"/>
            </w:pPr>
            <w:r>
              <w:t>17.1%</w:t>
            </w:r>
          </w:p>
        </w:tc>
        <w:tc>
          <w:tcPr>
            <w:tcW w:w="1052" w:type="dxa"/>
          </w:tcPr>
          <w:p w:rsidR="00B87BA0" w:rsidRDefault="00B87BA0" w:rsidP="00B87BA0">
            <w:pPr>
              <w:jc w:val="right"/>
            </w:pPr>
            <w:r>
              <w:t>1.3%</w:t>
            </w:r>
          </w:p>
        </w:tc>
        <w:tc>
          <w:tcPr>
            <w:tcW w:w="1052" w:type="dxa"/>
          </w:tcPr>
          <w:p w:rsidR="00B87BA0" w:rsidRDefault="00B87BA0" w:rsidP="00B87BA0">
            <w:pPr>
              <w:jc w:val="right"/>
            </w:pPr>
            <w:r>
              <w:t>13.3%</w:t>
            </w:r>
          </w:p>
        </w:tc>
        <w:tc>
          <w:tcPr>
            <w:tcW w:w="1052" w:type="dxa"/>
          </w:tcPr>
          <w:p w:rsidR="00B87BA0" w:rsidRDefault="00B87BA0" w:rsidP="00B87BA0">
            <w:pPr>
              <w:jc w:val="right"/>
            </w:pPr>
            <w:r>
              <w:t>(27.4%)</w:t>
            </w:r>
          </w:p>
        </w:tc>
        <w:tc>
          <w:tcPr>
            <w:tcW w:w="1052" w:type="dxa"/>
          </w:tcPr>
          <w:p w:rsidR="00B87BA0" w:rsidRDefault="00B87BA0" w:rsidP="00B87BA0">
            <w:pPr>
              <w:jc w:val="right"/>
            </w:pPr>
            <w:r>
              <w:t>(16.4%)</w:t>
            </w:r>
          </w:p>
        </w:tc>
        <w:tc>
          <w:tcPr>
            <w:tcW w:w="1052" w:type="dxa"/>
          </w:tcPr>
          <w:p w:rsidR="00B87BA0" w:rsidRDefault="00B87BA0" w:rsidP="00B87BA0">
            <w:pPr>
              <w:jc w:val="right"/>
            </w:pPr>
            <w:r>
              <w:t>(2.1%)</w:t>
            </w:r>
          </w:p>
        </w:tc>
      </w:tr>
      <w:tr w:rsidR="00B87BA0" w:rsidTr="00B87BA0">
        <w:tc>
          <w:tcPr>
            <w:tcW w:w="1767" w:type="dxa"/>
          </w:tcPr>
          <w:p w:rsidR="00B87BA0" w:rsidRDefault="00B87BA0">
            <w:r>
              <w:t>Median Price</w:t>
            </w:r>
          </w:p>
        </w:tc>
        <w:tc>
          <w:tcPr>
            <w:tcW w:w="1052" w:type="dxa"/>
          </w:tcPr>
          <w:p w:rsidR="00B87BA0" w:rsidRDefault="00B87BA0" w:rsidP="00B87BA0">
            <w:pPr>
              <w:jc w:val="right"/>
            </w:pPr>
            <w:r>
              <w:t>$130,000</w:t>
            </w:r>
          </w:p>
        </w:tc>
        <w:tc>
          <w:tcPr>
            <w:tcW w:w="1052" w:type="dxa"/>
          </w:tcPr>
          <w:p w:rsidR="00B87BA0" w:rsidRDefault="00B87BA0" w:rsidP="00B87BA0">
            <w:pPr>
              <w:jc w:val="right"/>
            </w:pPr>
            <w:r>
              <w:t>$138,000</w:t>
            </w:r>
          </w:p>
        </w:tc>
        <w:tc>
          <w:tcPr>
            <w:tcW w:w="1052" w:type="dxa"/>
          </w:tcPr>
          <w:p w:rsidR="00B87BA0" w:rsidRDefault="00B87BA0" w:rsidP="00B87BA0">
            <w:pPr>
              <w:jc w:val="right"/>
            </w:pPr>
            <w:r>
              <w:t>$140,000</w:t>
            </w:r>
          </w:p>
        </w:tc>
        <w:tc>
          <w:tcPr>
            <w:tcW w:w="1052" w:type="dxa"/>
          </w:tcPr>
          <w:p w:rsidR="00B87BA0" w:rsidRDefault="00B87BA0" w:rsidP="00B87BA0">
            <w:pPr>
              <w:jc w:val="right"/>
            </w:pPr>
            <w:r>
              <w:t>$145,000</w:t>
            </w:r>
          </w:p>
        </w:tc>
        <w:tc>
          <w:tcPr>
            <w:tcW w:w="1052" w:type="dxa"/>
          </w:tcPr>
          <w:p w:rsidR="00B87BA0" w:rsidRDefault="00B87BA0" w:rsidP="00B87BA0">
            <w:pPr>
              <w:jc w:val="right"/>
            </w:pPr>
            <w:r>
              <w:t>$160,000</w:t>
            </w:r>
          </w:p>
        </w:tc>
        <w:tc>
          <w:tcPr>
            <w:tcW w:w="1052" w:type="dxa"/>
          </w:tcPr>
          <w:p w:rsidR="00B87BA0" w:rsidRDefault="00B87BA0" w:rsidP="00B87BA0">
            <w:pPr>
              <w:jc w:val="right"/>
            </w:pPr>
            <w:r>
              <w:t>$169,000</w:t>
            </w:r>
          </w:p>
        </w:tc>
        <w:tc>
          <w:tcPr>
            <w:tcW w:w="1052" w:type="dxa"/>
          </w:tcPr>
          <w:p w:rsidR="00B87BA0" w:rsidRDefault="00B87BA0" w:rsidP="00B87BA0">
            <w:pPr>
              <w:jc w:val="right"/>
            </w:pPr>
            <w:r>
              <w:t>$160,000</w:t>
            </w:r>
          </w:p>
        </w:tc>
        <w:tc>
          <w:tcPr>
            <w:tcW w:w="1052" w:type="dxa"/>
          </w:tcPr>
          <w:p w:rsidR="00B87BA0" w:rsidRDefault="00B87BA0" w:rsidP="00B87BA0">
            <w:pPr>
              <w:jc w:val="right"/>
            </w:pPr>
            <w:r>
              <w:t>$165,000</w:t>
            </w:r>
          </w:p>
        </w:tc>
      </w:tr>
      <w:tr w:rsidR="00B87BA0" w:rsidTr="00B87BA0">
        <w:tc>
          <w:tcPr>
            <w:tcW w:w="1767" w:type="dxa"/>
          </w:tcPr>
          <w:p w:rsidR="00B87BA0" w:rsidRDefault="00B87BA0">
            <w:r>
              <w:t>% Change from Previous Year</w:t>
            </w:r>
          </w:p>
        </w:tc>
        <w:tc>
          <w:tcPr>
            <w:tcW w:w="1052" w:type="dxa"/>
          </w:tcPr>
          <w:p w:rsidR="00B87BA0" w:rsidRDefault="00B87BA0" w:rsidP="00B87BA0">
            <w:pPr>
              <w:jc w:val="right"/>
            </w:pPr>
            <w:r>
              <w:t>---</w:t>
            </w:r>
          </w:p>
        </w:tc>
        <w:tc>
          <w:tcPr>
            <w:tcW w:w="1052" w:type="dxa"/>
          </w:tcPr>
          <w:p w:rsidR="00B87BA0" w:rsidRDefault="00B87BA0" w:rsidP="00B87BA0">
            <w:pPr>
              <w:jc w:val="right"/>
            </w:pPr>
            <w:r>
              <w:t>6.2%</w:t>
            </w:r>
          </w:p>
        </w:tc>
        <w:tc>
          <w:tcPr>
            <w:tcW w:w="1052" w:type="dxa"/>
          </w:tcPr>
          <w:p w:rsidR="00B87BA0" w:rsidRDefault="00B87BA0" w:rsidP="00B87BA0">
            <w:pPr>
              <w:jc w:val="right"/>
            </w:pPr>
            <w:r>
              <w:t>1.4%</w:t>
            </w:r>
          </w:p>
        </w:tc>
        <w:tc>
          <w:tcPr>
            <w:tcW w:w="1052" w:type="dxa"/>
          </w:tcPr>
          <w:p w:rsidR="00B87BA0" w:rsidRDefault="00B87BA0" w:rsidP="00B87BA0">
            <w:pPr>
              <w:jc w:val="right"/>
            </w:pPr>
            <w:r>
              <w:t>3.6%</w:t>
            </w:r>
          </w:p>
        </w:tc>
        <w:tc>
          <w:tcPr>
            <w:tcW w:w="1052" w:type="dxa"/>
          </w:tcPr>
          <w:p w:rsidR="00B87BA0" w:rsidRDefault="00B87BA0" w:rsidP="00B87BA0">
            <w:pPr>
              <w:jc w:val="right"/>
            </w:pPr>
            <w:r>
              <w:t>10.3%</w:t>
            </w:r>
          </w:p>
        </w:tc>
        <w:tc>
          <w:tcPr>
            <w:tcW w:w="1052" w:type="dxa"/>
          </w:tcPr>
          <w:p w:rsidR="00B87BA0" w:rsidRDefault="00B87BA0" w:rsidP="00B87BA0">
            <w:pPr>
              <w:jc w:val="right"/>
            </w:pPr>
            <w:r>
              <w:t>5.6%</w:t>
            </w:r>
          </w:p>
        </w:tc>
        <w:tc>
          <w:tcPr>
            <w:tcW w:w="1052" w:type="dxa"/>
          </w:tcPr>
          <w:p w:rsidR="00B87BA0" w:rsidRDefault="00B87BA0" w:rsidP="00B87BA0">
            <w:pPr>
              <w:jc w:val="right"/>
            </w:pPr>
            <w:r>
              <w:t>(5.3%)</w:t>
            </w:r>
          </w:p>
        </w:tc>
        <w:tc>
          <w:tcPr>
            <w:tcW w:w="1052" w:type="dxa"/>
          </w:tcPr>
          <w:p w:rsidR="00B87BA0" w:rsidRDefault="00B87BA0" w:rsidP="00B87BA0">
            <w:pPr>
              <w:jc w:val="right"/>
            </w:pPr>
            <w:r>
              <w:t>3.1%</w:t>
            </w:r>
          </w:p>
        </w:tc>
      </w:tr>
    </w:tbl>
    <w:p w:rsidR="002B08A4" w:rsidRPr="00B862FB" w:rsidRDefault="00A43B3C" w:rsidP="002B08A4">
      <w:pPr>
        <w:rPr>
          <w:sz w:val="18"/>
        </w:rPr>
      </w:pPr>
      <w:r w:rsidRPr="00A43B3C">
        <w:rPr>
          <w:sz w:val="18"/>
        </w:rPr>
        <w:t>Source: Realtors</w:t>
      </w:r>
      <w:r w:rsidR="00B862FB">
        <w:rPr>
          <w:sz w:val="18"/>
        </w:rPr>
        <w:t xml:space="preserve"> Association of New Mexico, 2017</w:t>
      </w:r>
    </w:p>
    <w:p w:rsidR="002B08A4" w:rsidRPr="00C05641" w:rsidRDefault="00C05641" w:rsidP="002B08A4">
      <w:pPr>
        <w:rPr>
          <w:iCs/>
        </w:rPr>
      </w:pPr>
      <w:r>
        <w:rPr>
          <w:iCs/>
        </w:rPr>
        <w:t>Based on the City of</w:t>
      </w:r>
      <w:r w:rsidR="00396224">
        <w:rPr>
          <w:iCs/>
        </w:rPr>
        <w:t xml:space="preserve"> Carlsbad building permit data</w:t>
      </w:r>
      <w:r>
        <w:rPr>
          <w:iCs/>
        </w:rPr>
        <w:t>, there is reason to believe that the number of residential units actually built may vary</w:t>
      </w:r>
      <w:r w:rsidR="00396224">
        <w:rPr>
          <w:iCs/>
        </w:rPr>
        <w:t xml:space="preserve"> slightly</w:t>
      </w:r>
      <w:r>
        <w:rPr>
          <w:iCs/>
        </w:rPr>
        <w:t xml:space="preserve"> from what the building permit data shows. For example, in 2016, a large building permit </w:t>
      </w:r>
      <w:proofErr w:type="gramStart"/>
      <w:r>
        <w:rPr>
          <w:iCs/>
        </w:rPr>
        <w:t>was pulled</w:t>
      </w:r>
      <w:proofErr w:type="gramEnd"/>
      <w:r>
        <w:rPr>
          <w:iCs/>
        </w:rPr>
        <w:t xml:space="preserve"> for a new apartment complex called Pecos Vista Apartments; however, the new proposed number of units the apartments will include is 196 units that was announced at a 2017 spring groundbreaking for the project. </w:t>
      </w:r>
    </w:p>
    <w:p w:rsidR="002B08A4" w:rsidRPr="002B08A4" w:rsidRDefault="00C05641" w:rsidP="002B08A4">
      <w:pPr>
        <w:rPr>
          <w:b/>
        </w:rPr>
      </w:pPr>
      <w:r>
        <w:rPr>
          <w:b/>
          <w:iCs/>
        </w:rPr>
        <w:t>Table 4</w:t>
      </w:r>
      <w:r w:rsidR="002B08A4" w:rsidRPr="002B08A4">
        <w:rPr>
          <w:b/>
          <w:iCs/>
        </w:rPr>
        <w:t>. Greater Carlsbad Area Building Permit Data 2010-2017</w:t>
      </w:r>
    </w:p>
    <w:tbl>
      <w:tblPr>
        <w:tblStyle w:val="TableGrid"/>
        <w:tblW w:w="0" w:type="auto"/>
        <w:tblLook w:val="04A0" w:firstRow="1" w:lastRow="0" w:firstColumn="1" w:lastColumn="0" w:noHBand="0" w:noVBand="1"/>
      </w:tblPr>
      <w:tblGrid>
        <w:gridCol w:w="1558"/>
        <w:gridCol w:w="1656"/>
        <w:gridCol w:w="1558"/>
        <w:gridCol w:w="1558"/>
        <w:gridCol w:w="1559"/>
        <w:gridCol w:w="1559"/>
      </w:tblGrid>
      <w:tr w:rsidR="002B08A4" w:rsidTr="002B08A4">
        <w:tc>
          <w:tcPr>
            <w:tcW w:w="1558" w:type="dxa"/>
            <w:shd w:val="clear" w:color="auto" w:fill="000000" w:themeFill="text1"/>
          </w:tcPr>
          <w:p w:rsidR="002B08A4" w:rsidRDefault="002B08A4" w:rsidP="00D0270A">
            <w:r>
              <w:t>Year</w:t>
            </w:r>
          </w:p>
        </w:tc>
        <w:tc>
          <w:tcPr>
            <w:tcW w:w="1656" w:type="dxa"/>
            <w:shd w:val="clear" w:color="auto" w:fill="000000" w:themeFill="text1"/>
          </w:tcPr>
          <w:p w:rsidR="002B08A4" w:rsidRDefault="002B08A4" w:rsidP="00D0270A">
            <w:r>
              <w:t>Manufactured Housing/Mobile Homes</w:t>
            </w:r>
          </w:p>
        </w:tc>
        <w:tc>
          <w:tcPr>
            <w:tcW w:w="1558" w:type="dxa"/>
            <w:shd w:val="clear" w:color="auto" w:fill="000000" w:themeFill="text1"/>
          </w:tcPr>
          <w:p w:rsidR="002B08A4" w:rsidRDefault="002B08A4" w:rsidP="00D0270A">
            <w:r>
              <w:t>Total Single Family</w:t>
            </w:r>
          </w:p>
        </w:tc>
        <w:tc>
          <w:tcPr>
            <w:tcW w:w="1558" w:type="dxa"/>
            <w:shd w:val="clear" w:color="auto" w:fill="000000" w:themeFill="text1"/>
          </w:tcPr>
          <w:p w:rsidR="002B08A4" w:rsidRDefault="002B08A4" w:rsidP="00D0270A">
            <w:r>
              <w:t>No. of Apt Units</w:t>
            </w:r>
          </w:p>
        </w:tc>
        <w:tc>
          <w:tcPr>
            <w:tcW w:w="1559" w:type="dxa"/>
            <w:shd w:val="clear" w:color="auto" w:fill="000000" w:themeFill="text1"/>
          </w:tcPr>
          <w:p w:rsidR="002B08A4" w:rsidRDefault="002B08A4" w:rsidP="00D0270A">
            <w:r>
              <w:t>Duplex Units</w:t>
            </w:r>
          </w:p>
        </w:tc>
        <w:tc>
          <w:tcPr>
            <w:tcW w:w="1559" w:type="dxa"/>
            <w:shd w:val="clear" w:color="auto" w:fill="000000" w:themeFill="text1"/>
          </w:tcPr>
          <w:p w:rsidR="002B08A4" w:rsidRDefault="002B08A4" w:rsidP="00D0270A">
            <w:r>
              <w:t>Total Housing Units</w:t>
            </w:r>
          </w:p>
        </w:tc>
      </w:tr>
      <w:tr w:rsidR="002B08A4" w:rsidTr="002B08A4">
        <w:tc>
          <w:tcPr>
            <w:tcW w:w="1558" w:type="dxa"/>
          </w:tcPr>
          <w:p w:rsidR="002B08A4" w:rsidRDefault="002B08A4" w:rsidP="00D0270A">
            <w:r>
              <w:t>2010</w:t>
            </w:r>
          </w:p>
        </w:tc>
        <w:tc>
          <w:tcPr>
            <w:tcW w:w="1656" w:type="dxa"/>
          </w:tcPr>
          <w:p w:rsidR="002B08A4" w:rsidRDefault="002B08A4" w:rsidP="002B08A4">
            <w:pPr>
              <w:jc w:val="center"/>
            </w:pPr>
            <w:r>
              <w:t>23</w:t>
            </w:r>
          </w:p>
        </w:tc>
        <w:tc>
          <w:tcPr>
            <w:tcW w:w="1558" w:type="dxa"/>
          </w:tcPr>
          <w:p w:rsidR="002B08A4" w:rsidRDefault="002B08A4" w:rsidP="002B08A4">
            <w:pPr>
              <w:jc w:val="center"/>
            </w:pPr>
            <w:r>
              <w:t>76</w:t>
            </w:r>
          </w:p>
        </w:tc>
        <w:tc>
          <w:tcPr>
            <w:tcW w:w="1558" w:type="dxa"/>
          </w:tcPr>
          <w:p w:rsidR="002B08A4" w:rsidRDefault="002B08A4" w:rsidP="002B08A4">
            <w:pPr>
              <w:jc w:val="center"/>
            </w:pPr>
            <w:r>
              <w:t>0</w:t>
            </w:r>
          </w:p>
        </w:tc>
        <w:tc>
          <w:tcPr>
            <w:tcW w:w="1559" w:type="dxa"/>
          </w:tcPr>
          <w:p w:rsidR="002B08A4" w:rsidRDefault="002B08A4" w:rsidP="002B08A4">
            <w:pPr>
              <w:jc w:val="center"/>
            </w:pPr>
            <w:r>
              <w:t>0</w:t>
            </w:r>
          </w:p>
        </w:tc>
        <w:tc>
          <w:tcPr>
            <w:tcW w:w="1559" w:type="dxa"/>
          </w:tcPr>
          <w:p w:rsidR="002B08A4" w:rsidRDefault="002B08A4" w:rsidP="002B08A4">
            <w:pPr>
              <w:jc w:val="center"/>
            </w:pPr>
            <w:r>
              <w:t>99</w:t>
            </w:r>
          </w:p>
        </w:tc>
      </w:tr>
      <w:tr w:rsidR="002B08A4" w:rsidTr="002B08A4">
        <w:tc>
          <w:tcPr>
            <w:tcW w:w="1558" w:type="dxa"/>
          </w:tcPr>
          <w:p w:rsidR="002B08A4" w:rsidRDefault="002B08A4" w:rsidP="00D0270A">
            <w:r>
              <w:t>2011</w:t>
            </w:r>
          </w:p>
        </w:tc>
        <w:tc>
          <w:tcPr>
            <w:tcW w:w="1656" w:type="dxa"/>
          </w:tcPr>
          <w:p w:rsidR="002B08A4" w:rsidRDefault="002B08A4" w:rsidP="002B08A4">
            <w:pPr>
              <w:jc w:val="center"/>
            </w:pPr>
            <w:r>
              <w:t>38</w:t>
            </w:r>
          </w:p>
        </w:tc>
        <w:tc>
          <w:tcPr>
            <w:tcW w:w="1558" w:type="dxa"/>
          </w:tcPr>
          <w:p w:rsidR="002B08A4" w:rsidRDefault="002B08A4" w:rsidP="002B08A4">
            <w:pPr>
              <w:jc w:val="center"/>
            </w:pPr>
            <w:r>
              <w:t>86</w:t>
            </w:r>
          </w:p>
        </w:tc>
        <w:tc>
          <w:tcPr>
            <w:tcW w:w="1558" w:type="dxa"/>
          </w:tcPr>
          <w:p w:rsidR="002B08A4" w:rsidRDefault="002B08A4" w:rsidP="002B08A4">
            <w:pPr>
              <w:jc w:val="center"/>
            </w:pPr>
            <w:r>
              <w:t>235</w:t>
            </w:r>
          </w:p>
        </w:tc>
        <w:tc>
          <w:tcPr>
            <w:tcW w:w="1559" w:type="dxa"/>
          </w:tcPr>
          <w:p w:rsidR="002B08A4" w:rsidRDefault="002B08A4" w:rsidP="002B08A4">
            <w:pPr>
              <w:jc w:val="center"/>
            </w:pPr>
            <w:r>
              <w:t>4</w:t>
            </w:r>
          </w:p>
        </w:tc>
        <w:tc>
          <w:tcPr>
            <w:tcW w:w="1559" w:type="dxa"/>
          </w:tcPr>
          <w:p w:rsidR="002B08A4" w:rsidRDefault="002B08A4" w:rsidP="002B08A4">
            <w:pPr>
              <w:jc w:val="center"/>
            </w:pPr>
            <w:r>
              <w:t>363</w:t>
            </w:r>
          </w:p>
        </w:tc>
      </w:tr>
      <w:tr w:rsidR="002B08A4" w:rsidTr="002B08A4">
        <w:tc>
          <w:tcPr>
            <w:tcW w:w="1558" w:type="dxa"/>
          </w:tcPr>
          <w:p w:rsidR="002B08A4" w:rsidRDefault="002B08A4" w:rsidP="00D0270A">
            <w:r>
              <w:t>2012</w:t>
            </w:r>
          </w:p>
        </w:tc>
        <w:tc>
          <w:tcPr>
            <w:tcW w:w="1656" w:type="dxa"/>
          </w:tcPr>
          <w:p w:rsidR="002B08A4" w:rsidRDefault="002B08A4" w:rsidP="002B08A4">
            <w:pPr>
              <w:jc w:val="center"/>
            </w:pPr>
            <w:r>
              <w:t>12</w:t>
            </w:r>
          </w:p>
        </w:tc>
        <w:tc>
          <w:tcPr>
            <w:tcW w:w="1558" w:type="dxa"/>
          </w:tcPr>
          <w:p w:rsidR="002B08A4" w:rsidRDefault="002B08A4" w:rsidP="002B08A4">
            <w:pPr>
              <w:jc w:val="center"/>
            </w:pPr>
            <w:r>
              <w:t>97</w:t>
            </w:r>
          </w:p>
        </w:tc>
        <w:tc>
          <w:tcPr>
            <w:tcW w:w="1558" w:type="dxa"/>
          </w:tcPr>
          <w:p w:rsidR="002B08A4" w:rsidRDefault="002B08A4" w:rsidP="002B08A4">
            <w:pPr>
              <w:jc w:val="center"/>
            </w:pPr>
            <w:r>
              <w:t>268</w:t>
            </w:r>
          </w:p>
        </w:tc>
        <w:tc>
          <w:tcPr>
            <w:tcW w:w="1559" w:type="dxa"/>
          </w:tcPr>
          <w:p w:rsidR="002B08A4" w:rsidRDefault="002B08A4" w:rsidP="002B08A4">
            <w:pPr>
              <w:jc w:val="center"/>
            </w:pPr>
            <w:r>
              <w:t>0</w:t>
            </w:r>
          </w:p>
        </w:tc>
        <w:tc>
          <w:tcPr>
            <w:tcW w:w="1559" w:type="dxa"/>
          </w:tcPr>
          <w:p w:rsidR="002B08A4" w:rsidRDefault="002B08A4" w:rsidP="002B08A4">
            <w:pPr>
              <w:jc w:val="center"/>
            </w:pPr>
            <w:r>
              <w:t>377</w:t>
            </w:r>
          </w:p>
        </w:tc>
      </w:tr>
      <w:tr w:rsidR="002B08A4" w:rsidTr="002B08A4">
        <w:tc>
          <w:tcPr>
            <w:tcW w:w="1558" w:type="dxa"/>
          </w:tcPr>
          <w:p w:rsidR="002B08A4" w:rsidRDefault="002B08A4" w:rsidP="00D0270A">
            <w:r>
              <w:t>2013</w:t>
            </w:r>
          </w:p>
        </w:tc>
        <w:tc>
          <w:tcPr>
            <w:tcW w:w="1656" w:type="dxa"/>
          </w:tcPr>
          <w:p w:rsidR="002B08A4" w:rsidRDefault="002B08A4" w:rsidP="002B08A4">
            <w:pPr>
              <w:jc w:val="center"/>
            </w:pPr>
            <w:r>
              <w:t>51</w:t>
            </w:r>
          </w:p>
        </w:tc>
        <w:tc>
          <w:tcPr>
            <w:tcW w:w="1558" w:type="dxa"/>
          </w:tcPr>
          <w:p w:rsidR="002B08A4" w:rsidRDefault="002B08A4" w:rsidP="002B08A4">
            <w:pPr>
              <w:jc w:val="center"/>
            </w:pPr>
            <w:r>
              <w:t>159</w:t>
            </w:r>
          </w:p>
        </w:tc>
        <w:tc>
          <w:tcPr>
            <w:tcW w:w="1558" w:type="dxa"/>
          </w:tcPr>
          <w:p w:rsidR="002B08A4" w:rsidRDefault="002B08A4" w:rsidP="002B08A4">
            <w:pPr>
              <w:jc w:val="center"/>
            </w:pPr>
            <w:r>
              <w:t>0</w:t>
            </w:r>
          </w:p>
        </w:tc>
        <w:tc>
          <w:tcPr>
            <w:tcW w:w="1559" w:type="dxa"/>
          </w:tcPr>
          <w:p w:rsidR="002B08A4" w:rsidRDefault="002B08A4" w:rsidP="002B08A4">
            <w:pPr>
              <w:jc w:val="center"/>
            </w:pPr>
            <w:r>
              <w:t>0</w:t>
            </w:r>
          </w:p>
        </w:tc>
        <w:tc>
          <w:tcPr>
            <w:tcW w:w="1559" w:type="dxa"/>
          </w:tcPr>
          <w:p w:rsidR="002B08A4" w:rsidRDefault="002B08A4" w:rsidP="002B08A4">
            <w:pPr>
              <w:jc w:val="center"/>
            </w:pPr>
            <w:r>
              <w:t>210</w:t>
            </w:r>
          </w:p>
        </w:tc>
      </w:tr>
      <w:tr w:rsidR="002B08A4" w:rsidTr="002B08A4">
        <w:tc>
          <w:tcPr>
            <w:tcW w:w="1558" w:type="dxa"/>
          </w:tcPr>
          <w:p w:rsidR="002B08A4" w:rsidRDefault="002B08A4" w:rsidP="00D0270A">
            <w:r>
              <w:t>2014</w:t>
            </w:r>
          </w:p>
        </w:tc>
        <w:tc>
          <w:tcPr>
            <w:tcW w:w="1656" w:type="dxa"/>
          </w:tcPr>
          <w:p w:rsidR="002B08A4" w:rsidRDefault="002B08A4" w:rsidP="002B08A4">
            <w:pPr>
              <w:jc w:val="center"/>
            </w:pPr>
            <w:r>
              <w:t>42</w:t>
            </w:r>
          </w:p>
        </w:tc>
        <w:tc>
          <w:tcPr>
            <w:tcW w:w="1558" w:type="dxa"/>
          </w:tcPr>
          <w:p w:rsidR="002B08A4" w:rsidRDefault="002B08A4" w:rsidP="002B08A4">
            <w:pPr>
              <w:jc w:val="center"/>
            </w:pPr>
            <w:r>
              <w:t>149</w:t>
            </w:r>
          </w:p>
        </w:tc>
        <w:tc>
          <w:tcPr>
            <w:tcW w:w="1558" w:type="dxa"/>
          </w:tcPr>
          <w:p w:rsidR="002B08A4" w:rsidRDefault="002B08A4" w:rsidP="002B08A4">
            <w:pPr>
              <w:jc w:val="center"/>
            </w:pPr>
            <w:r>
              <w:t>256</w:t>
            </w:r>
          </w:p>
        </w:tc>
        <w:tc>
          <w:tcPr>
            <w:tcW w:w="1559" w:type="dxa"/>
          </w:tcPr>
          <w:p w:rsidR="002B08A4" w:rsidRDefault="002B08A4" w:rsidP="002B08A4">
            <w:pPr>
              <w:jc w:val="center"/>
            </w:pPr>
            <w:r>
              <w:t>12</w:t>
            </w:r>
          </w:p>
        </w:tc>
        <w:tc>
          <w:tcPr>
            <w:tcW w:w="1559" w:type="dxa"/>
          </w:tcPr>
          <w:p w:rsidR="002B08A4" w:rsidRDefault="002B08A4" w:rsidP="002B08A4">
            <w:pPr>
              <w:jc w:val="center"/>
            </w:pPr>
            <w:r>
              <w:t>459</w:t>
            </w:r>
          </w:p>
        </w:tc>
      </w:tr>
      <w:tr w:rsidR="002B08A4" w:rsidTr="002B08A4">
        <w:tc>
          <w:tcPr>
            <w:tcW w:w="1558" w:type="dxa"/>
          </w:tcPr>
          <w:p w:rsidR="002B08A4" w:rsidRDefault="002B08A4" w:rsidP="00D0270A">
            <w:r>
              <w:t>2015</w:t>
            </w:r>
          </w:p>
        </w:tc>
        <w:tc>
          <w:tcPr>
            <w:tcW w:w="1656" w:type="dxa"/>
          </w:tcPr>
          <w:p w:rsidR="002B08A4" w:rsidRDefault="002B08A4" w:rsidP="002B08A4">
            <w:pPr>
              <w:jc w:val="center"/>
            </w:pPr>
            <w:r>
              <w:t>37</w:t>
            </w:r>
          </w:p>
        </w:tc>
        <w:tc>
          <w:tcPr>
            <w:tcW w:w="1558" w:type="dxa"/>
          </w:tcPr>
          <w:p w:rsidR="002B08A4" w:rsidRDefault="002B08A4" w:rsidP="002B08A4">
            <w:pPr>
              <w:jc w:val="center"/>
            </w:pPr>
            <w:r>
              <w:t>118</w:t>
            </w:r>
          </w:p>
        </w:tc>
        <w:tc>
          <w:tcPr>
            <w:tcW w:w="1558" w:type="dxa"/>
          </w:tcPr>
          <w:p w:rsidR="002B08A4" w:rsidRDefault="002B08A4" w:rsidP="002B08A4">
            <w:pPr>
              <w:jc w:val="center"/>
            </w:pPr>
            <w:r>
              <w:t>0</w:t>
            </w:r>
          </w:p>
        </w:tc>
        <w:tc>
          <w:tcPr>
            <w:tcW w:w="1559" w:type="dxa"/>
          </w:tcPr>
          <w:p w:rsidR="002B08A4" w:rsidRDefault="002B08A4" w:rsidP="002B08A4">
            <w:pPr>
              <w:jc w:val="center"/>
            </w:pPr>
            <w:r>
              <w:t>4</w:t>
            </w:r>
          </w:p>
        </w:tc>
        <w:tc>
          <w:tcPr>
            <w:tcW w:w="1559" w:type="dxa"/>
          </w:tcPr>
          <w:p w:rsidR="002B08A4" w:rsidRDefault="002B08A4" w:rsidP="002B08A4">
            <w:pPr>
              <w:jc w:val="center"/>
            </w:pPr>
            <w:r>
              <w:t>159</w:t>
            </w:r>
          </w:p>
        </w:tc>
      </w:tr>
      <w:tr w:rsidR="002B08A4" w:rsidTr="002B08A4">
        <w:tc>
          <w:tcPr>
            <w:tcW w:w="1558" w:type="dxa"/>
          </w:tcPr>
          <w:p w:rsidR="002B08A4" w:rsidRDefault="002B08A4" w:rsidP="00D0270A">
            <w:r>
              <w:t>2016</w:t>
            </w:r>
          </w:p>
        </w:tc>
        <w:tc>
          <w:tcPr>
            <w:tcW w:w="1656" w:type="dxa"/>
          </w:tcPr>
          <w:p w:rsidR="002B08A4" w:rsidRDefault="002B08A4" w:rsidP="002B08A4">
            <w:pPr>
              <w:jc w:val="center"/>
            </w:pPr>
            <w:r>
              <w:t>22</w:t>
            </w:r>
          </w:p>
        </w:tc>
        <w:tc>
          <w:tcPr>
            <w:tcW w:w="1558" w:type="dxa"/>
          </w:tcPr>
          <w:p w:rsidR="002B08A4" w:rsidRDefault="002B08A4" w:rsidP="002B08A4">
            <w:pPr>
              <w:jc w:val="center"/>
            </w:pPr>
            <w:r>
              <w:t>82</w:t>
            </w:r>
          </w:p>
        </w:tc>
        <w:tc>
          <w:tcPr>
            <w:tcW w:w="1558" w:type="dxa"/>
          </w:tcPr>
          <w:p w:rsidR="002B08A4" w:rsidRDefault="002B08A4" w:rsidP="002B08A4">
            <w:pPr>
              <w:jc w:val="center"/>
            </w:pPr>
            <w:r>
              <w:t>204</w:t>
            </w:r>
          </w:p>
        </w:tc>
        <w:tc>
          <w:tcPr>
            <w:tcW w:w="1559" w:type="dxa"/>
          </w:tcPr>
          <w:p w:rsidR="002B08A4" w:rsidRDefault="002B08A4" w:rsidP="002B08A4">
            <w:pPr>
              <w:jc w:val="center"/>
            </w:pPr>
            <w:r>
              <w:t>0</w:t>
            </w:r>
          </w:p>
        </w:tc>
        <w:tc>
          <w:tcPr>
            <w:tcW w:w="1559" w:type="dxa"/>
          </w:tcPr>
          <w:p w:rsidR="002B08A4" w:rsidRDefault="002B08A4" w:rsidP="002B08A4">
            <w:pPr>
              <w:jc w:val="center"/>
            </w:pPr>
            <w:r>
              <w:t>308</w:t>
            </w:r>
          </w:p>
        </w:tc>
      </w:tr>
      <w:tr w:rsidR="002B08A4" w:rsidTr="002B08A4">
        <w:tc>
          <w:tcPr>
            <w:tcW w:w="1558" w:type="dxa"/>
          </w:tcPr>
          <w:p w:rsidR="002B08A4" w:rsidRDefault="002B08A4" w:rsidP="00D0270A">
            <w:r>
              <w:t>2017 YTD</w:t>
            </w:r>
          </w:p>
        </w:tc>
        <w:tc>
          <w:tcPr>
            <w:tcW w:w="1656" w:type="dxa"/>
          </w:tcPr>
          <w:p w:rsidR="00125DA5" w:rsidRDefault="00125DA5" w:rsidP="002B08A4">
            <w:pPr>
              <w:jc w:val="center"/>
            </w:pPr>
            <w:r>
              <w:t>34</w:t>
            </w:r>
          </w:p>
        </w:tc>
        <w:tc>
          <w:tcPr>
            <w:tcW w:w="1558" w:type="dxa"/>
          </w:tcPr>
          <w:p w:rsidR="00125DA5" w:rsidRDefault="00125DA5" w:rsidP="002B08A4">
            <w:pPr>
              <w:jc w:val="center"/>
            </w:pPr>
            <w:r>
              <w:t>107</w:t>
            </w:r>
          </w:p>
        </w:tc>
        <w:tc>
          <w:tcPr>
            <w:tcW w:w="1558" w:type="dxa"/>
          </w:tcPr>
          <w:p w:rsidR="002B08A4" w:rsidRDefault="002B08A4" w:rsidP="002B08A4">
            <w:pPr>
              <w:jc w:val="center"/>
            </w:pPr>
            <w:r>
              <w:t>0</w:t>
            </w:r>
          </w:p>
        </w:tc>
        <w:tc>
          <w:tcPr>
            <w:tcW w:w="1559" w:type="dxa"/>
          </w:tcPr>
          <w:p w:rsidR="002B08A4" w:rsidRDefault="002B08A4" w:rsidP="002B08A4">
            <w:pPr>
              <w:jc w:val="center"/>
            </w:pPr>
            <w:r>
              <w:t>0</w:t>
            </w:r>
          </w:p>
        </w:tc>
        <w:tc>
          <w:tcPr>
            <w:tcW w:w="1559" w:type="dxa"/>
          </w:tcPr>
          <w:p w:rsidR="002B08A4" w:rsidRDefault="00C05641" w:rsidP="002B08A4">
            <w:pPr>
              <w:jc w:val="center"/>
            </w:pPr>
            <w:r>
              <w:t>141</w:t>
            </w:r>
          </w:p>
        </w:tc>
      </w:tr>
      <w:tr w:rsidR="002B08A4" w:rsidTr="002B08A4">
        <w:tc>
          <w:tcPr>
            <w:tcW w:w="1558" w:type="dxa"/>
          </w:tcPr>
          <w:p w:rsidR="002B08A4" w:rsidRPr="00A73983" w:rsidRDefault="002B08A4" w:rsidP="00D0270A">
            <w:pPr>
              <w:rPr>
                <w:b/>
              </w:rPr>
            </w:pPr>
            <w:r w:rsidRPr="00A73983">
              <w:rPr>
                <w:b/>
              </w:rPr>
              <w:t>Total</w:t>
            </w:r>
          </w:p>
        </w:tc>
        <w:tc>
          <w:tcPr>
            <w:tcW w:w="1656" w:type="dxa"/>
          </w:tcPr>
          <w:p w:rsidR="002B08A4" w:rsidRDefault="00125DA5" w:rsidP="002B08A4">
            <w:pPr>
              <w:jc w:val="center"/>
            </w:pPr>
            <w:r>
              <w:t>259</w:t>
            </w:r>
          </w:p>
        </w:tc>
        <w:tc>
          <w:tcPr>
            <w:tcW w:w="1558" w:type="dxa"/>
          </w:tcPr>
          <w:p w:rsidR="002B08A4" w:rsidRDefault="00125DA5" w:rsidP="002B08A4">
            <w:pPr>
              <w:jc w:val="center"/>
            </w:pPr>
            <w:r>
              <w:t>874</w:t>
            </w:r>
          </w:p>
        </w:tc>
        <w:tc>
          <w:tcPr>
            <w:tcW w:w="1558" w:type="dxa"/>
          </w:tcPr>
          <w:p w:rsidR="002B08A4" w:rsidRDefault="002B08A4" w:rsidP="002B08A4">
            <w:pPr>
              <w:jc w:val="center"/>
            </w:pPr>
            <w:r>
              <w:t>963</w:t>
            </w:r>
          </w:p>
        </w:tc>
        <w:tc>
          <w:tcPr>
            <w:tcW w:w="1559" w:type="dxa"/>
          </w:tcPr>
          <w:p w:rsidR="002B08A4" w:rsidRDefault="002B08A4" w:rsidP="002B08A4">
            <w:pPr>
              <w:jc w:val="center"/>
            </w:pPr>
            <w:r>
              <w:t>20</w:t>
            </w:r>
          </w:p>
        </w:tc>
        <w:tc>
          <w:tcPr>
            <w:tcW w:w="1559" w:type="dxa"/>
          </w:tcPr>
          <w:p w:rsidR="002B08A4" w:rsidRPr="00A73983" w:rsidRDefault="002B08A4" w:rsidP="002B08A4">
            <w:pPr>
              <w:jc w:val="center"/>
              <w:rPr>
                <w:b/>
              </w:rPr>
            </w:pPr>
            <w:r w:rsidRPr="00A73983">
              <w:rPr>
                <w:b/>
              </w:rPr>
              <w:t>2,</w:t>
            </w:r>
            <w:r w:rsidR="00125DA5">
              <w:rPr>
                <w:b/>
              </w:rPr>
              <w:t>116</w:t>
            </w:r>
          </w:p>
        </w:tc>
      </w:tr>
    </w:tbl>
    <w:p w:rsidR="00C05641" w:rsidRPr="00C05641" w:rsidRDefault="00C05641" w:rsidP="00C05641">
      <w:pPr>
        <w:rPr>
          <w:sz w:val="18"/>
        </w:rPr>
      </w:pPr>
      <w:r>
        <w:rPr>
          <w:sz w:val="18"/>
        </w:rPr>
        <w:t>Source: City of Carlsbad Building Permit Data 2010-2017</w:t>
      </w:r>
    </w:p>
    <w:p w:rsidR="003359EA" w:rsidRDefault="00B04FAE" w:rsidP="00C05641">
      <w:pPr>
        <w:rPr>
          <w:bCs/>
          <w:szCs w:val="32"/>
        </w:rPr>
      </w:pPr>
      <w:r>
        <w:rPr>
          <w:bCs/>
          <w:szCs w:val="32"/>
        </w:rPr>
        <w:t xml:space="preserve">Since 2009, two housing studies </w:t>
      </w:r>
      <w:proofErr w:type="gramStart"/>
      <w:r>
        <w:rPr>
          <w:bCs/>
          <w:szCs w:val="32"/>
        </w:rPr>
        <w:t>have been conducted</w:t>
      </w:r>
      <w:proofErr w:type="gramEnd"/>
      <w:r>
        <w:rPr>
          <w:bCs/>
          <w:szCs w:val="32"/>
        </w:rPr>
        <w:t xml:space="preserve"> on the needs for housing, one in 2009 and one in 2015. The projected need for housing</w:t>
      </w:r>
      <w:r w:rsidR="00341D2D">
        <w:rPr>
          <w:bCs/>
          <w:szCs w:val="32"/>
        </w:rPr>
        <w:t xml:space="preserve"> </w:t>
      </w:r>
      <w:proofErr w:type="gramStart"/>
      <w:r w:rsidR="00341D2D">
        <w:rPr>
          <w:bCs/>
          <w:szCs w:val="32"/>
        </w:rPr>
        <w:t>is</w:t>
      </w:r>
      <w:r>
        <w:rPr>
          <w:bCs/>
          <w:szCs w:val="32"/>
        </w:rPr>
        <w:t xml:space="preserve"> based</w:t>
      </w:r>
      <w:proofErr w:type="gramEnd"/>
      <w:r>
        <w:rPr>
          <w:bCs/>
          <w:szCs w:val="32"/>
        </w:rPr>
        <w:t xml:space="preserve"> </w:t>
      </w:r>
      <w:r w:rsidR="00341D2D">
        <w:rPr>
          <w:bCs/>
          <w:szCs w:val="32"/>
        </w:rPr>
        <w:t xml:space="preserve">on a healthy economy that will continue at a steady pace of growth. </w:t>
      </w:r>
    </w:p>
    <w:p w:rsidR="00CD5BDA" w:rsidRDefault="00CD5BDA" w:rsidP="00C05641">
      <w:pPr>
        <w:rPr>
          <w:bCs/>
          <w:szCs w:val="32"/>
        </w:rPr>
      </w:pPr>
    </w:p>
    <w:p w:rsidR="00677F83" w:rsidRDefault="00677F83" w:rsidP="00C05641">
      <w:pPr>
        <w:rPr>
          <w:bCs/>
          <w:szCs w:val="32"/>
        </w:rPr>
      </w:pPr>
    </w:p>
    <w:p w:rsidR="00677F83" w:rsidRDefault="00677F83" w:rsidP="00C05641">
      <w:pPr>
        <w:rPr>
          <w:bCs/>
          <w:szCs w:val="32"/>
        </w:rPr>
      </w:pPr>
    </w:p>
    <w:p w:rsidR="00677F83" w:rsidRDefault="00677F83" w:rsidP="00C05641">
      <w:pPr>
        <w:rPr>
          <w:bCs/>
          <w:szCs w:val="32"/>
        </w:rPr>
      </w:pPr>
    </w:p>
    <w:p w:rsidR="00677F83" w:rsidRDefault="00677F83" w:rsidP="00C05641">
      <w:pPr>
        <w:rPr>
          <w:bCs/>
          <w:szCs w:val="32"/>
        </w:rPr>
      </w:pPr>
    </w:p>
    <w:p w:rsidR="00677F83" w:rsidRPr="00CD5BDA" w:rsidRDefault="00677F83" w:rsidP="00C05641">
      <w:pPr>
        <w:rPr>
          <w:bCs/>
          <w:szCs w:val="32"/>
        </w:rPr>
      </w:pPr>
    </w:p>
    <w:p w:rsidR="00C05641" w:rsidRPr="002B08A4" w:rsidRDefault="008B22C3" w:rsidP="00C05641">
      <w:pPr>
        <w:rPr>
          <w:b/>
          <w:sz w:val="16"/>
        </w:rPr>
      </w:pPr>
      <w:r>
        <w:rPr>
          <w:b/>
          <w:bCs/>
          <w:szCs w:val="32"/>
        </w:rPr>
        <w:lastRenderedPageBreak/>
        <w:t>Table 5</w:t>
      </w:r>
      <w:r w:rsidR="00C05641" w:rsidRPr="002B08A4">
        <w:rPr>
          <w:b/>
          <w:bCs/>
          <w:szCs w:val="32"/>
        </w:rPr>
        <w:t>. Housing Units Needed According to Housing Studies</w:t>
      </w:r>
    </w:p>
    <w:tbl>
      <w:tblPr>
        <w:tblStyle w:val="TableGrid"/>
        <w:tblW w:w="10306" w:type="dxa"/>
        <w:tblLook w:val="04A0" w:firstRow="1" w:lastRow="0" w:firstColumn="1" w:lastColumn="0" w:noHBand="0" w:noVBand="1"/>
      </w:tblPr>
      <w:tblGrid>
        <w:gridCol w:w="2753"/>
        <w:gridCol w:w="2517"/>
        <w:gridCol w:w="2518"/>
        <w:gridCol w:w="2518"/>
      </w:tblGrid>
      <w:tr w:rsidR="00C05641" w:rsidTr="00D0270A">
        <w:tc>
          <w:tcPr>
            <w:tcW w:w="2753" w:type="dxa"/>
          </w:tcPr>
          <w:p w:rsidR="00C05641" w:rsidRDefault="00C05641" w:rsidP="00D0270A">
            <w:pPr>
              <w:rPr>
                <w:b/>
                <w:bCs/>
              </w:rPr>
            </w:pPr>
          </w:p>
        </w:tc>
        <w:tc>
          <w:tcPr>
            <w:tcW w:w="2517" w:type="dxa"/>
          </w:tcPr>
          <w:p w:rsidR="00C05641" w:rsidRDefault="00C05641" w:rsidP="00D0270A">
            <w:pPr>
              <w:rPr>
                <w:b/>
                <w:bCs/>
              </w:rPr>
            </w:pPr>
            <w:r>
              <w:rPr>
                <w:b/>
                <w:bCs/>
              </w:rPr>
              <w:t>Projected Need*</w:t>
            </w:r>
          </w:p>
        </w:tc>
        <w:tc>
          <w:tcPr>
            <w:tcW w:w="2518" w:type="dxa"/>
          </w:tcPr>
          <w:p w:rsidR="00C05641" w:rsidRDefault="00C05641" w:rsidP="00D0270A">
            <w:pPr>
              <w:rPr>
                <w:b/>
                <w:bCs/>
              </w:rPr>
            </w:pPr>
            <w:r>
              <w:rPr>
                <w:b/>
                <w:bCs/>
              </w:rPr>
              <w:t>Residential Building Permits Pulled**</w:t>
            </w:r>
          </w:p>
        </w:tc>
        <w:tc>
          <w:tcPr>
            <w:tcW w:w="2518" w:type="dxa"/>
          </w:tcPr>
          <w:p w:rsidR="00C05641" w:rsidRDefault="00C05641" w:rsidP="00D0270A">
            <w:pPr>
              <w:rPr>
                <w:b/>
                <w:bCs/>
              </w:rPr>
            </w:pPr>
            <w:r>
              <w:rPr>
                <w:b/>
                <w:bCs/>
              </w:rPr>
              <w:t>Deficit</w:t>
            </w:r>
          </w:p>
        </w:tc>
      </w:tr>
      <w:tr w:rsidR="00C05641" w:rsidRPr="002B08A4" w:rsidTr="00D0270A">
        <w:tc>
          <w:tcPr>
            <w:tcW w:w="2753" w:type="dxa"/>
          </w:tcPr>
          <w:p w:rsidR="00C05641" w:rsidRPr="002B08A4" w:rsidRDefault="00C05641" w:rsidP="00D0270A">
            <w:pPr>
              <w:rPr>
                <w:bCs/>
              </w:rPr>
            </w:pPr>
            <w:r w:rsidRPr="002B08A4">
              <w:rPr>
                <w:bCs/>
              </w:rPr>
              <w:t>Eddy County Housing Units Needed 2010-2014</w:t>
            </w:r>
          </w:p>
        </w:tc>
        <w:tc>
          <w:tcPr>
            <w:tcW w:w="2517" w:type="dxa"/>
          </w:tcPr>
          <w:p w:rsidR="00C05641" w:rsidRPr="002B08A4" w:rsidRDefault="00C05641" w:rsidP="00D0270A">
            <w:pPr>
              <w:rPr>
                <w:bCs/>
              </w:rPr>
            </w:pPr>
            <w:r>
              <w:rPr>
                <w:bCs/>
              </w:rPr>
              <w:t>2,687-2,902</w:t>
            </w:r>
          </w:p>
        </w:tc>
        <w:tc>
          <w:tcPr>
            <w:tcW w:w="2518" w:type="dxa"/>
          </w:tcPr>
          <w:p w:rsidR="00C05641" w:rsidRPr="002B08A4" w:rsidRDefault="00C05641" w:rsidP="00D0270A">
            <w:pPr>
              <w:rPr>
                <w:bCs/>
              </w:rPr>
            </w:pPr>
            <w:r>
              <w:rPr>
                <w:bCs/>
              </w:rPr>
              <w:t>1,508</w:t>
            </w:r>
          </w:p>
        </w:tc>
        <w:tc>
          <w:tcPr>
            <w:tcW w:w="2518" w:type="dxa"/>
          </w:tcPr>
          <w:p w:rsidR="00C05641" w:rsidRPr="002B08A4" w:rsidRDefault="00C05641" w:rsidP="00D0270A">
            <w:pPr>
              <w:rPr>
                <w:bCs/>
              </w:rPr>
            </w:pPr>
            <w:r>
              <w:rPr>
                <w:bCs/>
              </w:rPr>
              <w:t>1,179-1,394</w:t>
            </w:r>
          </w:p>
        </w:tc>
      </w:tr>
      <w:tr w:rsidR="00C05641" w:rsidRPr="002B08A4" w:rsidTr="00D0270A">
        <w:tc>
          <w:tcPr>
            <w:tcW w:w="2753" w:type="dxa"/>
          </w:tcPr>
          <w:p w:rsidR="00C05641" w:rsidRPr="002B08A4" w:rsidRDefault="00C05641" w:rsidP="00D0270A">
            <w:pPr>
              <w:rPr>
                <w:bCs/>
              </w:rPr>
            </w:pPr>
            <w:r w:rsidRPr="002B08A4">
              <w:rPr>
                <w:bCs/>
              </w:rPr>
              <w:t>Eddy County Housing Units Needed 2015-2020</w:t>
            </w:r>
          </w:p>
        </w:tc>
        <w:tc>
          <w:tcPr>
            <w:tcW w:w="2517" w:type="dxa"/>
          </w:tcPr>
          <w:p w:rsidR="00C05641" w:rsidRPr="002B08A4" w:rsidRDefault="00C05641" w:rsidP="00D0270A">
            <w:pPr>
              <w:rPr>
                <w:bCs/>
              </w:rPr>
            </w:pPr>
            <w:r>
              <w:rPr>
                <w:bCs/>
              </w:rPr>
              <w:t>5,961-6,286</w:t>
            </w:r>
          </w:p>
        </w:tc>
        <w:tc>
          <w:tcPr>
            <w:tcW w:w="2518" w:type="dxa"/>
          </w:tcPr>
          <w:p w:rsidR="00C05641" w:rsidRPr="002B08A4" w:rsidRDefault="00C05641" w:rsidP="00D0270A">
            <w:pPr>
              <w:rPr>
                <w:bCs/>
              </w:rPr>
            </w:pPr>
            <w:r>
              <w:rPr>
                <w:bCs/>
              </w:rPr>
              <w:t>608</w:t>
            </w:r>
          </w:p>
        </w:tc>
        <w:tc>
          <w:tcPr>
            <w:tcW w:w="2518" w:type="dxa"/>
          </w:tcPr>
          <w:p w:rsidR="00C05641" w:rsidRPr="002B08A4" w:rsidRDefault="00C05641" w:rsidP="00D0270A">
            <w:pPr>
              <w:rPr>
                <w:bCs/>
              </w:rPr>
            </w:pPr>
            <w:r>
              <w:rPr>
                <w:bCs/>
              </w:rPr>
              <w:t>5,353-5,678</w:t>
            </w:r>
          </w:p>
        </w:tc>
      </w:tr>
      <w:tr w:rsidR="00C05641" w:rsidTr="00D0270A">
        <w:tc>
          <w:tcPr>
            <w:tcW w:w="2753" w:type="dxa"/>
          </w:tcPr>
          <w:p w:rsidR="00C05641" w:rsidRDefault="00C05641" w:rsidP="00D0270A">
            <w:pPr>
              <w:rPr>
                <w:b/>
                <w:bCs/>
              </w:rPr>
            </w:pPr>
            <w:r>
              <w:rPr>
                <w:b/>
                <w:bCs/>
              </w:rPr>
              <w:t>Total Units Needed by 2020</w:t>
            </w:r>
          </w:p>
        </w:tc>
        <w:tc>
          <w:tcPr>
            <w:tcW w:w="2517" w:type="dxa"/>
          </w:tcPr>
          <w:p w:rsidR="00C05641" w:rsidRDefault="00C05641" w:rsidP="00D0270A">
            <w:pPr>
              <w:rPr>
                <w:b/>
                <w:bCs/>
              </w:rPr>
            </w:pPr>
            <w:r>
              <w:rPr>
                <w:b/>
                <w:bCs/>
              </w:rPr>
              <w:t>8,648-9,188</w:t>
            </w:r>
          </w:p>
        </w:tc>
        <w:tc>
          <w:tcPr>
            <w:tcW w:w="2518" w:type="dxa"/>
          </w:tcPr>
          <w:p w:rsidR="00C05641" w:rsidRDefault="00C05641" w:rsidP="00D0270A">
            <w:pPr>
              <w:rPr>
                <w:b/>
                <w:bCs/>
              </w:rPr>
            </w:pPr>
            <w:r>
              <w:rPr>
                <w:b/>
                <w:bCs/>
              </w:rPr>
              <w:t>2,116</w:t>
            </w:r>
          </w:p>
        </w:tc>
        <w:tc>
          <w:tcPr>
            <w:tcW w:w="2518" w:type="dxa"/>
          </w:tcPr>
          <w:p w:rsidR="00C05641" w:rsidRDefault="00C05641" w:rsidP="00D0270A">
            <w:pPr>
              <w:rPr>
                <w:b/>
                <w:bCs/>
              </w:rPr>
            </w:pPr>
            <w:r>
              <w:rPr>
                <w:b/>
                <w:bCs/>
              </w:rPr>
              <w:t>6,532-7,072</w:t>
            </w:r>
          </w:p>
        </w:tc>
      </w:tr>
    </w:tbl>
    <w:p w:rsidR="00C05641" w:rsidRPr="002B08A4" w:rsidRDefault="00C05641" w:rsidP="00C05641">
      <w:pPr>
        <w:rPr>
          <w:sz w:val="18"/>
        </w:rPr>
      </w:pPr>
      <w:r w:rsidRPr="002B08A4">
        <w:rPr>
          <w:iCs/>
          <w:sz w:val="18"/>
        </w:rPr>
        <w:t>Source:*Greater Carlsbad Housing Analysis &amp; Strategic Plan, Sites Southwest, 2009</w:t>
      </w:r>
      <w:proofErr w:type="gramStart"/>
      <w:r w:rsidRPr="002B08A4">
        <w:rPr>
          <w:iCs/>
          <w:sz w:val="18"/>
        </w:rPr>
        <w:t>;</w:t>
      </w:r>
      <w:proofErr w:type="gramEnd"/>
      <w:r w:rsidRPr="002B08A4">
        <w:rPr>
          <w:iCs/>
          <w:sz w:val="18"/>
        </w:rPr>
        <w:t xml:space="preserve"> City of Carlsbad Housing Analysis and Strategic Pla</w:t>
      </w:r>
      <w:r>
        <w:rPr>
          <w:iCs/>
          <w:sz w:val="18"/>
        </w:rPr>
        <w:t>n Update, Sites Southwest, 2015. **City of Carlsbad Building Permit Data 2010-2017</w:t>
      </w:r>
    </w:p>
    <w:p w:rsidR="00C05641" w:rsidRDefault="00C05641"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Default="00522305" w:rsidP="002B08A4">
      <w:pPr>
        <w:rPr>
          <w:sz w:val="18"/>
        </w:rPr>
      </w:pPr>
    </w:p>
    <w:p w:rsidR="00522305" w:rsidRPr="002B08A4" w:rsidRDefault="00522305" w:rsidP="002B08A4">
      <w:pPr>
        <w:rPr>
          <w:sz w:val="18"/>
        </w:rPr>
      </w:pPr>
    </w:p>
    <w:p w:rsidR="00A223CA" w:rsidRPr="00B87BA0" w:rsidRDefault="006839A6" w:rsidP="00B87BA0">
      <w:pPr>
        <w:pStyle w:val="ListParagraph"/>
        <w:numPr>
          <w:ilvl w:val="0"/>
          <w:numId w:val="3"/>
        </w:numPr>
        <w:rPr>
          <w:b/>
          <w:i/>
          <w:sz w:val="24"/>
        </w:rPr>
      </w:pPr>
      <w:r w:rsidRPr="00B87BA0">
        <w:rPr>
          <w:b/>
          <w:i/>
          <w:sz w:val="24"/>
        </w:rPr>
        <w:lastRenderedPageBreak/>
        <w:t>Employer Housing Survey</w:t>
      </w:r>
    </w:p>
    <w:p w:rsidR="002111CD" w:rsidRDefault="002111CD">
      <w:r>
        <w:t xml:space="preserve">The Carlsbad Department of Development conducted surveys of Carlsbad area employers to identify housing needs and community housing concerns. </w:t>
      </w:r>
      <w:r w:rsidR="00D15232">
        <w:t>Between the months of August through October</w:t>
      </w:r>
      <w:r w:rsidR="00792FE2">
        <w:t xml:space="preserve">, </w:t>
      </w:r>
      <w:r w:rsidR="005D210E">
        <w:t>3</w:t>
      </w:r>
      <w:r w:rsidR="00D15232">
        <w:t>9</w:t>
      </w:r>
      <w:r>
        <w:t xml:space="preserve"> employer</w:t>
      </w:r>
      <w:r w:rsidR="00D15232">
        <w:t>s</w:t>
      </w:r>
      <w:r>
        <w:t xml:space="preserve"> completed</w:t>
      </w:r>
      <w:r w:rsidR="00D15232">
        <w:t xml:space="preserve"> surveys.</w:t>
      </w:r>
      <w:r>
        <w:t xml:space="preserve"> The survey asked a number of questions about current housing conditions, affordability, and availability. </w:t>
      </w:r>
    </w:p>
    <w:p w:rsidR="00D15232" w:rsidRDefault="00D15232">
      <w:r>
        <w:t xml:space="preserve">Thirty-nine employers representing a range of business types and sizes responded to the survey. These businesses together had </w:t>
      </w:r>
      <w:proofErr w:type="gramStart"/>
      <w:r>
        <w:t xml:space="preserve">a total of </w:t>
      </w:r>
      <w:r w:rsidR="00D60AB9">
        <w:t>3,896</w:t>
      </w:r>
      <w:proofErr w:type="gramEnd"/>
      <w:r>
        <w:t xml:space="preserve"> employees. </w:t>
      </w:r>
    </w:p>
    <w:p w:rsidR="00D60AB9" w:rsidRPr="006B5E96" w:rsidRDefault="00D60AB9" w:rsidP="006B5E96">
      <w:pPr>
        <w:pStyle w:val="ListParagraph"/>
        <w:numPr>
          <w:ilvl w:val="0"/>
          <w:numId w:val="1"/>
        </w:numPr>
        <w:rPr>
          <w:b/>
        </w:rPr>
      </w:pPr>
      <w:r w:rsidRPr="006B5E96">
        <w:rPr>
          <w:b/>
        </w:rPr>
        <w:t>Type of Business</w:t>
      </w:r>
    </w:p>
    <w:p w:rsidR="00677F83" w:rsidRPr="00D60AB9" w:rsidRDefault="00D60AB9">
      <w:r>
        <w:t>The employers who responded to the survey represent a variety of industry categories. The highest percentages</w:t>
      </w:r>
      <w:r w:rsidR="006B5E96">
        <w:t xml:space="preserve"> were </w:t>
      </w:r>
      <w:r>
        <w:t>20.5 percent in mining/oil &amp; gas</w:t>
      </w:r>
      <w:r w:rsidR="006B5E96">
        <w:t>,</w:t>
      </w:r>
      <w:r>
        <w:t xml:space="preserve"> and 12.8 percent in government. </w:t>
      </w:r>
      <w:r w:rsidR="006B5E96">
        <w:t xml:space="preserve">The third and fourth highest percent—10.3 percent each were in construction and banking/finance/insurance. The rest </w:t>
      </w:r>
      <w:proofErr w:type="gramStart"/>
      <w:r w:rsidR="006B5E96">
        <w:t>were spread</w:t>
      </w:r>
      <w:proofErr w:type="gramEnd"/>
      <w:r w:rsidR="006B5E96">
        <w:t xml:space="preserve"> among</w:t>
      </w:r>
      <w:r>
        <w:t xml:space="preserve"> </w:t>
      </w:r>
      <w:r w:rsidR="006B5E96">
        <w:t xml:space="preserve">education, manufacturing, transportation/communication/utilities, health care services, retail trade/sales, real estate/property management, hotels/motels/lodging, business services, engineering/architecture, and non-governmental social services. In the “other” category were non-profits and news/media. </w:t>
      </w:r>
    </w:p>
    <w:tbl>
      <w:tblPr>
        <w:tblStyle w:val="GridTable2"/>
        <w:tblW w:w="8190" w:type="dxa"/>
        <w:jc w:val="center"/>
        <w:tblLook w:val="04A0" w:firstRow="1" w:lastRow="0" w:firstColumn="1" w:lastColumn="0" w:noHBand="0" w:noVBand="1"/>
      </w:tblPr>
      <w:tblGrid>
        <w:gridCol w:w="4590"/>
        <w:gridCol w:w="1762"/>
        <w:gridCol w:w="1838"/>
      </w:tblGrid>
      <w:tr w:rsidR="00D60AB9" w:rsidRPr="00D60AB9" w:rsidTr="00BE292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Business Type</w:t>
            </w:r>
          </w:p>
        </w:tc>
        <w:tc>
          <w:tcPr>
            <w:tcW w:w="1762" w:type="dxa"/>
            <w:noWrap/>
            <w:hideMark/>
          </w:tcPr>
          <w:p w:rsidR="00D60AB9" w:rsidRPr="00D60AB9" w:rsidRDefault="00D60AB9" w:rsidP="00D60A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Number of Responses</w:t>
            </w:r>
          </w:p>
        </w:tc>
        <w:tc>
          <w:tcPr>
            <w:tcW w:w="1838" w:type="dxa"/>
            <w:noWrap/>
            <w:hideMark/>
          </w:tcPr>
          <w:p w:rsidR="00D60AB9" w:rsidRPr="00D60AB9" w:rsidRDefault="00D60AB9" w:rsidP="00D60A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Percent</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Education</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5.1%</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Mining/oil &amp; gas</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8</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20.5%</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Manufacturing</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2.6%</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Transportations/Communication/Utilities</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2.6%</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Construction/Trades</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4</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10.3%</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Health Care Services</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3</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7.7%</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Retail Trade/Sales</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2.6%</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Real Estate/Property Management</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2.6%</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Hotels/Motels</w:t>
            </w:r>
            <w:r>
              <w:rPr>
                <w:rFonts w:ascii="Calibri" w:eastAsia="Times New Roman" w:hAnsi="Calibri" w:cs="Calibri"/>
                <w:color w:val="000000"/>
              </w:rPr>
              <w:t>/</w:t>
            </w:r>
            <w:r w:rsidRPr="00D60AB9">
              <w:rPr>
                <w:rFonts w:ascii="Calibri" w:eastAsia="Times New Roman" w:hAnsi="Calibri" w:cs="Calibri"/>
                <w:color w:val="000000"/>
              </w:rPr>
              <w:t>Lodging</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5.1%</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Banking/Finance/Insurance</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4</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10.3%</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Government</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12.8%</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Services-Business Services</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5.1%</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Services Engineering/Architecture</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5.1%</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Services-Social (non-government)</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2.6%</w:t>
            </w:r>
          </w:p>
        </w:tc>
      </w:tr>
      <w:tr w:rsidR="00D60AB9" w:rsidRPr="00D60AB9" w:rsidTr="00BE29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color w:val="000000"/>
              </w:rPr>
            </w:pPr>
            <w:r w:rsidRPr="00D60AB9">
              <w:rPr>
                <w:rFonts w:ascii="Calibri" w:eastAsia="Times New Roman" w:hAnsi="Calibri" w:cs="Calibri"/>
                <w:color w:val="000000"/>
              </w:rPr>
              <w:t>Other</w:t>
            </w:r>
          </w:p>
        </w:tc>
        <w:tc>
          <w:tcPr>
            <w:tcW w:w="1762"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2</w:t>
            </w:r>
          </w:p>
        </w:tc>
        <w:tc>
          <w:tcPr>
            <w:tcW w:w="1838" w:type="dxa"/>
            <w:noWrap/>
            <w:hideMark/>
          </w:tcPr>
          <w:p w:rsidR="00D60AB9" w:rsidRPr="00D60AB9" w:rsidRDefault="00D60AB9" w:rsidP="00D60A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5.1%</w:t>
            </w:r>
          </w:p>
        </w:tc>
      </w:tr>
      <w:tr w:rsidR="00D60AB9" w:rsidRPr="00D60AB9" w:rsidTr="00BE292C">
        <w:trPr>
          <w:trHeight w:val="288"/>
          <w:jc w:val="center"/>
        </w:trPr>
        <w:tc>
          <w:tcPr>
            <w:cnfStyle w:val="001000000000" w:firstRow="0" w:lastRow="0" w:firstColumn="1" w:lastColumn="0" w:oddVBand="0" w:evenVBand="0" w:oddHBand="0" w:evenHBand="0" w:firstRowFirstColumn="0" w:firstRowLastColumn="0" w:lastRowFirstColumn="0" w:lastRowLastColumn="0"/>
            <w:tcW w:w="4590" w:type="dxa"/>
            <w:noWrap/>
            <w:hideMark/>
          </w:tcPr>
          <w:p w:rsidR="00D60AB9" w:rsidRPr="00D60AB9" w:rsidRDefault="00D60AB9" w:rsidP="00CD5BDA">
            <w:pPr>
              <w:jc w:val="both"/>
              <w:rPr>
                <w:rFonts w:ascii="Calibri" w:eastAsia="Times New Roman" w:hAnsi="Calibri" w:cs="Calibri"/>
                <w:b w:val="0"/>
                <w:i/>
                <w:iCs/>
                <w:color w:val="000000"/>
              </w:rPr>
            </w:pPr>
            <w:r w:rsidRPr="00D60AB9">
              <w:rPr>
                <w:rFonts w:ascii="Calibri" w:eastAsia="Times New Roman" w:hAnsi="Calibri" w:cs="Calibri"/>
                <w:b w:val="0"/>
                <w:i/>
                <w:iCs/>
                <w:color w:val="000000"/>
              </w:rPr>
              <w:t>Total Responses</w:t>
            </w:r>
          </w:p>
        </w:tc>
        <w:tc>
          <w:tcPr>
            <w:tcW w:w="1762"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60AB9">
              <w:rPr>
                <w:rFonts w:ascii="Calibri" w:eastAsia="Times New Roman" w:hAnsi="Calibri" w:cs="Calibri"/>
                <w:i/>
                <w:iCs/>
                <w:color w:val="000000"/>
              </w:rPr>
              <w:t>39</w:t>
            </w:r>
          </w:p>
        </w:tc>
        <w:tc>
          <w:tcPr>
            <w:tcW w:w="1838" w:type="dxa"/>
            <w:noWrap/>
            <w:hideMark/>
          </w:tcPr>
          <w:p w:rsidR="00D60AB9" w:rsidRPr="00D60AB9" w:rsidRDefault="00D60AB9" w:rsidP="00D60A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0AB9">
              <w:rPr>
                <w:rFonts w:ascii="Calibri" w:eastAsia="Times New Roman" w:hAnsi="Calibri" w:cs="Calibri"/>
                <w:color w:val="000000"/>
              </w:rPr>
              <w:t>100.0%</w:t>
            </w:r>
          </w:p>
        </w:tc>
      </w:tr>
    </w:tbl>
    <w:p w:rsidR="009B2094" w:rsidRDefault="009B2094">
      <w:pPr>
        <w:rPr>
          <w:b/>
        </w:rPr>
      </w:pPr>
    </w:p>
    <w:p w:rsidR="00522305" w:rsidRDefault="00522305">
      <w:pPr>
        <w:rPr>
          <w:b/>
        </w:rPr>
      </w:pPr>
    </w:p>
    <w:p w:rsidR="00522305" w:rsidRDefault="00522305">
      <w:pPr>
        <w:rPr>
          <w:b/>
        </w:rPr>
      </w:pPr>
    </w:p>
    <w:p w:rsidR="00522305" w:rsidRDefault="00522305">
      <w:pPr>
        <w:rPr>
          <w:b/>
        </w:rPr>
      </w:pPr>
    </w:p>
    <w:p w:rsidR="00522305" w:rsidRPr="00D60AB9" w:rsidRDefault="00522305">
      <w:pPr>
        <w:rPr>
          <w:b/>
        </w:rPr>
      </w:pPr>
    </w:p>
    <w:p w:rsidR="006B5E96" w:rsidRPr="009B2094" w:rsidRDefault="006B5E96" w:rsidP="009B2094">
      <w:pPr>
        <w:pStyle w:val="ListParagraph"/>
        <w:numPr>
          <w:ilvl w:val="0"/>
          <w:numId w:val="1"/>
        </w:numPr>
        <w:rPr>
          <w:b/>
        </w:rPr>
      </w:pPr>
      <w:r w:rsidRPr="009B2094">
        <w:rPr>
          <w:b/>
        </w:rPr>
        <w:lastRenderedPageBreak/>
        <w:t>What is the current number of employees are your business location(s) in Eddy County only?</w:t>
      </w:r>
    </w:p>
    <w:p w:rsidR="006B5E96" w:rsidRDefault="006B5E96">
      <w:r>
        <w:t xml:space="preserve">The businesses who responded to the survey ranged in size from zero, because they had recently expanded to the area, up to </w:t>
      </w:r>
      <w:r w:rsidR="00851C03">
        <w:t xml:space="preserve">780 employees with a median of 37 and an average of 100. </w:t>
      </w:r>
    </w:p>
    <w:p w:rsidR="00677F83" w:rsidRDefault="0049608B" w:rsidP="0049608B">
      <w:r>
        <w:rPr>
          <w:noProof/>
        </w:rPr>
        <w:drawing>
          <wp:inline distT="0" distB="0" distL="0" distR="0" wp14:anchorId="2835292C">
            <wp:extent cx="4932218" cy="2968908"/>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722" cy="2975833"/>
                    </a:xfrm>
                    <a:prstGeom prst="rect">
                      <a:avLst/>
                    </a:prstGeom>
                    <a:noFill/>
                  </pic:spPr>
                </pic:pic>
              </a:graphicData>
            </a:graphic>
          </wp:inline>
        </w:drawing>
      </w:r>
    </w:p>
    <w:p w:rsidR="00851C03" w:rsidRPr="00851C03" w:rsidRDefault="00851C03" w:rsidP="00851C03">
      <w:pPr>
        <w:pStyle w:val="ListParagraph"/>
        <w:numPr>
          <w:ilvl w:val="0"/>
          <w:numId w:val="1"/>
        </w:numPr>
        <w:rPr>
          <w:b/>
        </w:rPr>
      </w:pPr>
      <w:r w:rsidRPr="00851C03">
        <w:rPr>
          <w:b/>
        </w:rPr>
        <w:t xml:space="preserve">How many </w:t>
      </w:r>
      <w:r w:rsidR="00FD4426">
        <w:rPr>
          <w:b/>
        </w:rPr>
        <w:t xml:space="preserve">jobs in Eddy County are currently unfilled? </w:t>
      </w:r>
    </w:p>
    <w:p w:rsidR="00851C03" w:rsidRDefault="00FD4426">
      <w:r>
        <w:t xml:space="preserve">Some 77 percent of employers have full-time jobs available for </w:t>
      </w:r>
      <w:proofErr w:type="gramStart"/>
      <w:r>
        <w:t>a to</w:t>
      </w:r>
      <w:r w:rsidR="00BE292C">
        <w:t>tal of 289</w:t>
      </w:r>
      <w:proofErr w:type="gramEnd"/>
      <w:r w:rsidR="00BE292C">
        <w:t xml:space="preserve"> unfilled positions. </w:t>
      </w:r>
      <w:r>
        <w:t xml:space="preserve">About 27 percent have part time jobs available for </w:t>
      </w:r>
      <w:proofErr w:type="gramStart"/>
      <w:r>
        <w:t>a total of 53</w:t>
      </w:r>
      <w:proofErr w:type="gramEnd"/>
      <w:r>
        <w:t xml:space="preserve"> </w:t>
      </w:r>
      <w:r w:rsidR="005851CB">
        <w:t xml:space="preserve">unfilled positions. </w:t>
      </w:r>
    </w:p>
    <w:p w:rsidR="005851CB" w:rsidRPr="005851CB" w:rsidRDefault="005851CB" w:rsidP="005851CB">
      <w:pPr>
        <w:pStyle w:val="ListParagraph"/>
        <w:numPr>
          <w:ilvl w:val="0"/>
          <w:numId w:val="1"/>
        </w:numPr>
        <w:rPr>
          <w:b/>
        </w:rPr>
      </w:pPr>
      <w:r w:rsidRPr="005851CB">
        <w:rPr>
          <w:b/>
        </w:rPr>
        <w:t xml:space="preserve">How many </w:t>
      </w:r>
      <w:r w:rsidRPr="005851CB">
        <w:rPr>
          <w:b/>
          <w:u w:val="single"/>
        </w:rPr>
        <w:t>additional</w:t>
      </w:r>
      <w:r w:rsidRPr="005851CB">
        <w:rPr>
          <w:b/>
        </w:rPr>
        <w:t xml:space="preserve"> employees do you anticipate hiring over the next five years?</w:t>
      </w:r>
    </w:p>
    <w:p w:rsidR="005851CB" w:rsidRDefault="00F41C44">
      <w:r>
        <w:t xml:space="preserve">Around 40 percent of employers plan to hire between 1-10 people over the next five years. About 18 percent of employers expect to hire more than 25 people and another 21 percent expect to hire between 10 and 25. Of the 39 employers surveyed about 18 </w:t>
      </w:r>
      <w:proofErr w:type="gramStart"/>
      <w:r>
        <w:t>percent</w:t>
      </w:r>
      <w:proofErr w:type="gramEnd"/>
      <w:r>
        <w:t xml:space="preserve"> expect no change to staffing. </w:t>
      </w:r>
    </w:p>
    <w:p w:rsidR="009B2094" w:rsidRDefault="00F41C44">
      <w:r>
        <w:rPr>
          <w:noProof/>
        </w:rPr>
        <w:lastRenderedPageBreak/>
        <w:drawing>
          <wp:inline distT="0" distB="0" distL="0" distR="0" wp14:anchorId="5113DB2B" wp14:editId="06B93953">
            <wp:extent cx="5049982" cy="3162300"/>
            <wp:effectExtent l="0" t="0" r="177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1C44" w:rsidRPr="00F41C44" w:rsidRDefault="00F41C44" w:rsidP="00F41C44">
      <w:pPr>
        <w:pStyle w:val="ListParagraph"/>
        <w:numPr>
          <w:ilvl w:val="0"/>
          <w:numId w:val="1"/>
        </w:numPr>
        <w:rPr>
          <w:b/>
        </w:rPr>
      </w:pPr>
      <w:r w:rsidRPr="00F41C44">
        <w:rPr>
          <w:b/>
        </w:rPr>
        <w:t>Do you offer housing for any of your employees?</w:t>
      </w:r>
    </w:p>
    <w:p w:rsidR="00F41C44" w:rsidRDefault="00F41C44">
      <w:r>
        <w:t>Five of the emp</w:t>
      </w:r>
      <w:r w:rsidR="00AD46C4">
        <w:t xml:space="preserve">loyers offer housing for one to three of their employees. One explained it was temporary short-term furnished apartments only. </w:t>
      </w:r>
    </w:p>
    <w:p w:rsidR="00AD46C4" w:rsidRPr="00AD46C4" w:rsidRDefault="00AD46C4" w:rsidP="00AD46C4">
      <w:pPr>
        <w:pStyle w:val="ListParagraph"/>
        <w:numPr>
          <w:ilvl w:val="0"/>
          <w:numId w:val="1"/>
        </w:numPr>
        <w:rPr>
          <w:b/>
        </w:rPr>
      </w:pPr>
      <w:r w:rsidRPr="00AD46C4">
        <w:rPr>
          <w:b/>
        </w:rPr>
        <w:t>Please estimate the percent of your employees that live in the following geographic areas.</w:t>
      </w:r>
    </w:p>
    <w:p w:rsidR="00AD46C4" w:rsidRDefault="00AD46C4">
      <w:r>
        <w:t xml:space="preserve">By far the largest number of employees (3,133 or 82 percent) live in the Carlsbad service area. Around 14 percent live outside of the Carlsbad service area—Artesia, Roswell, Hobbs. About four percent live as far away as Texas. </w:t>
      </w:r>
    </w:p>
    <w:p w:rsidR="00AD46C4" w:rsidRPr="00AD46C4" w:rsidRDefault="00AD46C4" w:rsidP="00AD46C4">
      <w:pPr>
        <w:pStyle w:val="ListParagraph"/>
        <w:numPr>
          <w:ilvl w:val="0"/>
          <w:numId w:val="1"/>
        </w:numPr>
        <w:rPr>
          <w:b/>
        </w:rPr>
      </w:pPr>
      <w:r w:rsidRPr="00AD46C4">
        <w:rPr>
          <w:b/>
        </w:rPr>
        <w:t>In your opinion, is there currently enough suitable housing in the Carlsbad service area?</w:t>
      </w:r>
    </w:p>
    <w:p w:rsidR="00D01EF8" w:rsidRDefault="00D15232">
      <w:r>
        <w:t xml:space="preserve">Out </w:t>
      </w:r>
      <w:r w:rsidR="00D01EF8">
        <w:t>of all employers surveyed, more than 80 percent</w:t>
      </w:r>
      <w:r w:rsidR="005D210E">
        <w:t xml:space="preserve"> responded “No” when asked</w:t>
      </w:r>
      <w:r w:rsidR="00D01EF8">
        <w:t xml:space="preserve"> and only seven </w:t>
      </w:r>
      <w:r w:rsidR="00A42474">
        <w:t>employers</w:t>
      </w:r>
      <w:r w:rsidR="00D01EF8">
        <w:t xml:space="preserve"> indicated that there is currently enough suitable housing for their employees.</w:t>
      </w:r>
    </w:p>
    <w:p w:rsidR="00D01EF8" w:rsidRPr="00D01EF8" w:rsidRDefault="00D01EF8" w:rsidP="00D01EF8">
      <w:pPr>
        <w:pStyle w:val="ListParagraph"/>
        <w:numPr>
          <w:ilvl w:val="0"/>
          <w:numId w:val="1"/>
        </w:numPr>
        <w:rPr>
          <w:b/>
        </w:rPr>
      </w:pPr>
      <w:r w:rsidRPr="00D01EF8">
        <w:rPr>
          <w:b/>
        </w:rPr>
        <w:t>Is this a factor affecting your employees?</w:t>
      </w:r>
    </w:p>
    <w:p w:rsidR="00D01EF8" w:rsidRDefault="00D01EF8">
      <w:r>
        <w:t xml:space="preserve">According to 64 percent of employers, the lack of suitable housing was a factor affecting their employees. Around 36 percent responded “no”, that they did not feel their employees </w:t>
      </w:r>
      <w:proofErr w:type="gramStart"/>
      <w:r>
        <w:t>were affected</w:t>
      </w:r>
      <w:proofErr w:type="gramEnd"/>
      <w:r>
        <w:t xml:space="preserve"> by it, but several of those indicated that while it was not necessarily a problem for their organization it was a problem they noticed in other businesses.</w:t>
      </w:r>
    </w:p>
    <w:p w:rsidR="00A42474" w:rsidRPr="00A42474" w:rsidRDefault="00A42474" w:rsidP="00A42474">
      <w:pPr>
        <w:pStyle w:val="ListParagraph"/>
        <w:numPr>
          <w:ilvl w:val="0"/>
          <w:numId w:val="1"/>
        </w:numPr>
        <w:rPr>
          <w:b/>
        </w:rPr>
      </w:pPr>
      <w:r w:rsidRPr="00A42474">
        <w:rPr>
          <w:b/>
        </w:rPr>
        <w:t xml:space="preserve">Please estimate the percentage of your employees that need the following housing types. </w:t>
      </w:r>
    </w:p>
    <w:p w:rsidR="00A42474" w:rsidRDefault="00FD1330">
      <w:r>
        <w:t>Some of the respondents interpreted this question to refer to the immediate needs of employees. Of these 15</w:t>
      </w:r>
      <w:r w:rsidR="002F599C">
        <w:t xml:space="preserve"> employers, nine said </w:t>
      </w:r>
      <w:proofErr w:type="gramStart"/>
      <w:r w:rsidR="002F599C">
        <w:t>a total of 138</w:t>
      </w:r>
      <w:proofErr w:type="gramEnd"/>
      <w:r w:rsidR="002F599C">
        <w:t xml:space="preserve"> needed long-term rentals, and four said a total of 38 needed homes to purchase. </w:t>
      </w:r>
    </w:p>
    <w:p w:rsidR="0049608B" w:rsidRDefault="002F599C" w:rsidP="0049608B">
      <w:r>
        <w:lastRenderedPageBreak/>
        <w:t>The other segment of 24 respondents interpreted the question to mean their entire current workforce regardless if they currently had an acceptable living situation. Of those respondents who interpreted the question to mean their entire workforce</w:t>
      </w:r>
      <w:r w:rsidR="0049608B">
        <w:t xml:space="preserve">, </w:t>
      </w:r>
      <w:r w:rsidR="008370FF">
        <w:t xml:space="preserve">four said that 1% to 50% needed short term rentals, </w:t>
      </w:r>
      <w:r w:rsidR="0049608B">
        <w:t xml:space="preserve">eight said 26% to 50% of their employees needed long-term rentals, </w:t>
      </w:r>
      <w:r w:rsidR="008370FF">
        <w:t>and 15 said from 26% to 100</w:t>
      </w:r>
      <w:r w:rsidR="0049608B">
        <w:t xml:space="preserve">% of their employees needed </w:t>
      </w:r>
      <w:r w:rsidR="008370FF">
        <w:t>homes to purchase</w:t>
      </w:r>
      <w:r w:rsidR="0049608B">
        <w:t xml:space="preserve">. </w:t>
      </w:r>
    </w:p>
    <w:p w:rsidR="0049608B" w:rsidRDefault="0049608B">
      <w:r>
        <w:rPr>
          <w:noProof/>
        </w:rPr>
        <w:drawing>
          <wp:inline distT="0" distB="0" distL="0" distR="0" wp14:anchorId="64A1DD46" wp14:editId="5C5FDE73">
            <wp:extent cx="4814455" cy="2490276"/>
            <wp:effectExtent l="0" t="0" r="571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2094" w:rsidRDefault="009B2094">
      <w:r>
        <w:t xml:space="preserve">Short-term rentals were some of the least requested, but the majority of those who did request it fell into the category of construction/trades and healthcare services. Those needing long-term rentals spanned all sectors but were concentrated in mining/oil &amp; gas, construction/trades, banking/finance/insurance, and government. Employees needing homes to purchase also </w:t>
      </w:r>
      <w:proofErr w:type="gramStart"/>
      <w:r>
        <w:t>were employed</w:t>
      </w:r>
      <w:proofErr w:type="gramEnd"/>
      <w:r>
        <w:t xml:space="preserve"> in all sectors but had highest need in the government sector.</w:t>
      </w:r>
    </w:p>
    <w:p w:rsidR="00677F83" w:rsidRDefault="009B2094">
      <w:r w:rsidRPr="0049608B">
        <w:rPr>
          <w:noProof/>
        </w:rPr>
        <w:drawing>
          <wp:inline distT="0" distB="0" distL="0" distR="0" wp14:anchorId="0971ED63" wp14:editId="72ACA390">
            <wp:extent cx="3955415" cy="9213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5415" cy="921385"/>
                    </a:xfrm>
                    <a:prstGeom prst="rect">
                      <a:avLst/>
                    </a:prstGeom>
                    <a:noFill/>
                    <a:ln>
                      <a:noFill/>
                    </a:ln>
                  </pic:spPr>
                </pic:pic>
              </a:graphicData>
            </a:graphic>
          </wp:inline>
        </w:drawing>
      </w:r>
    </w:p>
    <w:p w:rsidR="00A42474" w:rsidRPr="00A42474" w:rsidRDefault="00A42474" w:rsidP="00A42474">
      <w:pPr>
        <w:pStyle w:val="ListParagraph"/>
        <w:numPr>
          <w:ilvl w:val="0"/>
          <w:numId w:val="1"/>
        </w:numPr>
        <w:rPr>
          <w:b/>
        </w:rPr>
      </w:pPr>
      <w:r w:rsidRPr="00A42474">
        <w:rPr>
          <w:b/>
        </w:rPr>
        <w:t xml:space="preserve">How would you characterize the experience your employees finding housing the Carlsbad area? </w:t>
      </w:r>
    </w:p>
    <w:p w:rsidR="00FF2FC0" w:rsidRDefault="005D210E">
      <w:r>
        <w:t xml:space="preserve">When asked to characterize the experience of their employees finding housing in the Carlsbad area, </w:t>
      </w:r>
      <w:r w:rsidR="00FF2FC0">
        <w:t>more than 82 percent reported that this is “difficult” (57%), “very difficult” (20%), or “lack of housing is making it difficult to recruit employees” (5%) for their employees to find housing the Carlsbad area</w:t>
      </w:r>
      <w:r w:rsidR="000F050B">
        <w:t>. Only</w:t>
      </w:r>
      <w:r w:rsidR="00FF2FC0">
        <w:t xml:space="preserve"> six considered this process “easy” and none responded that the process was “very easy”. </w:t>
      </w:r>
      <w:r w:rsidR="000F050B">
        <w:t xml:space="preserve">The most commonly cited reasons for the difficulties were that rental and for-sale housing was unaffordable and limited, and that what was available was not worth the market pricing, a sign that this market has a much higher demand than supply. </w:t>
      </w:r>
    </w:p>
    <w:p w:rsidR="00FF2FC0" w:rsidRDefault="00FF2FC0">
      <w:r>
        <w:rPr>
          <w:noProof/>
        </w:rPr>
        <w:lastRenderedPageBreak/>
        <w:drawing>
          <wp:inline distT="0" distB="0" distL="0" distR="0" wp14:anchorId="2C7488D7" wp14:editId="79B9451D">
            <wp:extent cx="5403273" cy="3317875"/>
            <wp:effectExtent l="0" t="0" r="698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1AF0" w:rsidRPr="003D1D5E" w:rsidRDefault="00BA1AF0">
      <w:pPr>
        <w:rPr>
          <w:b/>
        </w:rPr>
      </w:pPr>
      <w:r w:rsidRPr="003D1D5E">
        <w:rPr>
          <w:b/>
        </w:rPr>
        <w:t>Quotes and reasons cited for describing the search for housing as difficult:</w:t>
      </w:r>
    </w:p>
    <w:p w:rsidR="00BA1AF0" w:rsidRDefault="003D1D5E" w:rsidP="005D74DC">
      <w:pPr>
        <w:pStyle w:val="ListParagraph"/>
        <w:numPr>
          <w:ilvl w:val="0"/>
          <w:numId w:val="2"/>
        </w:numPr>
      </w:pPr>
      <w:r>
        <w:t>“</w:t>
      </w:r>
      <w:r w:rsidR="005D74DC" w:rsidRPr="005D74DC">
        <w:t>The difficulty our employees are running into is the cost being high. Most of our employees are looking for homes to purchase. We are looking to hire 5-7 more employees to replace spots that are vacated to due promotions etc. There has been some difficulty in the price and availability of homes and having to settle for an apartment. There is some apartments and subdivision coming soon that should help.</w:t>
      </w:r>
      <w:r>
        <w:t>”</w:t>
      </w:r>
    </w:p>
    <w:p w:rsidR="003D1D5E" w:rsidRDefault="003D1D5E" w:rsidP="005D74DC">
      <w:pPr>
        <w:pStyle w:val="ListParagraph"/>
        <w:numPr>
          <w:ilvl w:val="0"/>
          <w:numId w:val="2"/>
        </w:numPr>
      </w:pPr>
      <w:r>
        <w:t>“</w:t>
      </w:r>
      <w:r w:rsidRPr="003D1D5E">
        <w:t>cost &amp; availability</w:t>
      </w:r>
      <w:r>
        <w:t>”</w:t>
      </w:r>
    </w:p>
    <w:p w:rsidR="003D1D5E" w:rsidRDefault="003D1D5E" w:rsidP="005D74DC">
      <w:pPr>
        <w:pStyle w:val="ListParagraph"/>
        <w:numPr>
          <w:ilvl w:val="0"/>
          <w:numId w:val="2"/>
        </w:numPr>
      </w:pPr>
      <w:r>
        <w:t>“</w:t>
      </w:r>
      <w:r w:rsidRPr="003D1D5E">
        <w:t xml:space="preserve">We need </w:t>
      </w:r>
      <w:proofErr w:type="gramStart"/>
      <w:r w:rsidRPr="003D1D5E">
        <w:t>more lower</w:t>
      </w:r>
      <w:proofErr w:type="gramEnd"/>
      <w:r w:rsidRPr="003D1D5E">
        <w:t xml:space="preserve"> income houses to rent/and or buy.</w:t>
      </w:r>
      <w:r>
        <w:t>”</w:t>
      </w:r>
    </w:p>
    <w:p w:rsidR="003D1D5E" w:rsidRDefault="003D1D5E" w:rsidP="005D74DC">
      <w:pPr>
        <w:pStyle w:val="ListParagraph"/>
        <w:numPr>
          <w:ilvl w:val="0"/>
          <w:numId w:val="2"/>
        </w:numPr>
      </w:pPr>
      <w:r>
        <w:t>“</w:t>
      </w:r>
      <w:r w:rsidRPr="003D1D5E">
        <w:t>$</w:t>
      </w:r>
      <w:r>
        <w:t>”</w:t>
      </w:r>
    </w:p>
    <w:p w:rsidR="003D1D5E" w:rsidRDefault="003D1D5E" w:rsidP="005D74DC">
      <w:pPr>
        <w:pStyle w:val="ListParagraph"/>
        <w:numPr>
          <w:ilvl w:val="0"/>
          <w:numId w:val="2"/>
        </w:numPr>
      </w:pPr>
      <w:r>
        <w:t>“</w:t>
      </w:r>
      <w:r w:rsidRPr="003D1D5E">
        <w:t xml:space="preserve">Employees are finding the cost of housing to be too high or availability to be limited. Employees have made me aware the housing in Carlsbad is hard to find. A lot of the </w:t>
      </w:r>
      <w:proofErr w:type="gramStart"/>
      <w:r w:rsidRPr="003D1D5E">
        <w:t>time</w:t>
      </w:r>
      <w:proofErr w:type="gramEnd"/>
      <w:r w:rsidRPr="003D1D5E">
        <w:t xml:space="preserve"> the homes or apartments are not what they are for and rent is atrociously high for what it is worth. Many of my employees find it easier to live with family than search for appropriate housing.</w:t>
      </w:r>
      <w:r>
        <w:t>”</w:t>
      </w:r>
    </w:p>
    <w:p w:rsidR="003D1D5E" w:rsidRDefault="003D1D5E" w:rsidP="005D74DC">
      <w:pPr>
        <w:pStyle w:val="ListParagraph"/>
        <w:numPr>
          <w:ilvl w:val="0"/>
          <w:numId w:val="2"/>
        </w:numPr>
      </w:pPr>
      <w:r>
        <w:t>“</w:t>
      </w:r>
      <w:r w:rsidRPr="003D1D5E">
        <w:t>All of the employees here are local and have established housing. This is not really an issue for me. Although I do see a need for more housing as the area grows.</w:t>
      </w:r>
      <w:r>
        <w:t>”</w:t>
      </w:r>
    </w:p>
    <w:p w:rsidR="003D1D5E" w:rsidRDefault="003D1D5E" w:rsidP="005D74DC">
      <w:pPr>
        <w:pStyle w:val="ListParagraph"/>
        <w:numPr>
          <w:ilvl w:val="0"/>
          <w:numId w:val="2"/>
        </w:numPr>
      </w:pPr>
      <w:r>
        <w:t>“</w:t>
      </w:r>
      <w:r w:rsidRPr="003D1D5E">
        <w:t>Good price.</w:t>
      </w:r>
      <w:r>
        <w:t>”</w:t>
      </w:r>
    </w:p>
    <w:p w:rsidR="003D1D5E" w:rsidRDefault="003D1D5E" w:rsidP="005D74DC">
      <w:pPr>
        <w:pStyle w:val="ListParagraph"/>
        <w:numPr>
          <w:ilvl w:val="0"/>
          <w:numId w:val="2"/>
        </w:numPr>
      </w:pPr>
      <w:r>
        <w:t>“</w:t>
      </w:r>
      <w:r w:rsidRPr="003D1D5E">
        <w:t>Lack of availability and cost</w:t>
      </w:r>
      <w:r>
        <w:t>”</w:t>
      </w:r>
    </w:p>
    <w:p w:rsidR="003D1D5E" w:rsidRDefault="003D1D5E" w:rsidP="005D74DC">
      <w:pPr>
        <w:pStyle w:val="ListParagraph"/>
        <w:numPr>
          <w:ilvl w:val="0"/>
          <w:numId w:val="2"/>
        </w:numPr>
      </w:pPr>
      <w:r>
        <w:t>“</w:t>
      </w:r>
      <w:r w:rsidRPr="003D1D5E">
        <w:t xml:space="preserve">Newer housing </w:t>
      </w:r>
      <w:proofErr w:type="spellStart"/>
      <w:r w:rsidRPr="003D1D5E">
        <w:t>mid level</w:t>
      </w:r>
      <w:proofErr w:type="spellEnd"/>
      <w:r>
        <w:t>”</w:t>
      </w:r>
    </w:p>
    <w:p w:rsidR="003D1D5E" w:rsidRDefault="003D1D5E" w:rsidP="005D74DC">
      <w:pPr>
        <w:pStyle w:val="ListParagraph"/>
        <w:numPr>
          <w:ilvl w:val="0"/>
          <w:numId w:val="2"/>
        </w:numPr>
      </w:pPr>
      <w:r>
        <w:t>“</w:t>
      </w:r>
      <w:r w:rsidRPr="003D1D5E">
        <w:t>Our prospective employees are having difficulty finding housing as rates that they are willing to pay.</w:t>
      </w:r>
      <w:r>
        <w:t>”</w:t>
      </w:r>
    </w:p>
    <w:p w:rsidR="003D1D5E" w:rsidRDefault="003D1D5E" w:rsidP="005D74DC">
      <w:pPr>
        <w:pStyle w:val="ListParagraph"/>
        <w:numPr>
          <w:ilvl w:val="0"/>
          <w:numId w:val="2"/>
        </w:numPr>
      </w:pPr>
      <w:r>
        <w:t>“</w:t>
      </w:r>
      <w:r w:rsidRPr="003D1D5E">
        <w:t xml:space="preserve">All of NCKRI's current employees have been in Carlsbad for a few years and are not looking for housing. As a result, I </w:t>
      </w:r>
      <w:proofErr w:type="gramStart"/>
      <w:r w:rsidRPr="003D1D5E">
        <w:t>don't</w:t>
      </w:r>
      <w:proofErr w:type="gramEnd"/>
      <w:r w:rsidRPr="003D1D5E">
        <w:t xml:space="preserve"> have any recent experience with the ease or difficult of finding housing currently in Carlsbad. A few years </w:t>
      </w:r>
      <w:proofErr w:type="gramStart"/>
      <w:r w:rsidRPr="003D1D5E">
        <w:t>ago</w:t>
      </w:r>
      <w:proofErr w:type="gramEnd"/>
      <w:r w:rsidRPr="003D1D5E">
        <w:t xml:space="preserve"> I heard many complaint in general from the community, but I have heard much recently. However, </w:t>
      </w:r>
      <w:proofErr w:type="gramStart"/>
      <w:r w:rsidRPr="003D1D5E">
        <w:t>I've</w:t>
      </w:r>
      <w:proofErr w:type="gramEnd"/>
      <w:r w:rsidRPr="003D1D5E">
        <w:t xml:space="preserve"> been traveling more over the past couple of years and I'm not connecting </w:t>
      </w:r>
      <w:r w:rsidRPr="003D1D5E">
        <w:lastRenderedPageBreak/>
        <w:t>as much with the community so if there are concerns I may not be around to hear them. As a result, I don't feel qualified to answer some of the above questions and left them blank.</w:t>
      </w:r>
      <w:r>
        <w:t>”</w:t>
      </w:r>
    </w:p>
    <w:p w:rsidR="003D1D5E" w:rsidRDefault="003D1D5E" w:rsidP="005D74DC">
      <w:pPr>
        <w:pStyle w:val="ListParagraph"/>
        <w:numPr>
          <w:ilvl w:val="0"/>
          <w:numId w:val="2"/>
        </w:numPr>
      </w:pPr>
      <w:r>
        <w:t>“</w:t>
      </w:r>
      <w:r w:rsidRPr="003D1D5E">
        <w:t>Expensive</w:t>
      </w:r>
      <w:r>
        <w:t>”</w:t>
      </w:r>
    </w:p>
    <w:p w:rsidR="003D1D5E" w:rsidRDefault="003D1D5E" w:rsidP="005D74DC">
      <w:pPr>
        <w:pStyle w:val="ListParagraph"/>
        <w:numPr>
          <w:ilvl w:val="0"/>
          <w:numId w:val="2"/>
        </w:numPr>
      </w:pPr>
      <w:r>
        <w:t>“</w:t>
      </w:r>
      <w:r w:rsidRPr="003D1D5E">
        <w:t>oil and gas spin-offs</w:t>
      </w:r>
      <w:r>
        <w:t>”</w:t>
      </w:r>
    </w:p>
    <w:p w:rsidR="003D1D5E" w:rsidRDefault="003D1D5E" w:rsidP="005D74DC">
      <w:pPr>
        <w:pStyle w:val="ListParagraph"/>
        <w:numPr>
          <w:ilvl w:val="0"/>
          <w:numId w:val="2"/>
        </w:numPr>
      </w:pPr>
      <w:r>
        <w:t>“</w:t>
      </w:r>
      <w:r w:rsidRPr="003D1D5E">
        <w:t>Not enough available, what is available is too expensive. Most employees live in trailers or RV's but even to rent those spaces are expensive.</w:t>
      </w:r>
      <w:r>
        <w:t>”</w:t>
      </w:r>
    </w:p>
    <w:p w:rsidR="003D1D5E" w:rsidRDefault="003D1D5E" w:rsidP="005D74DC">
      <w:pPr>
        <w:pStyle w:val="ListParagraph"/>
        <w:numPr>
          <w:ilvl w:val="0"/>
          <w:numId w:val="2"/>
        </w:numPr>
      </w:pPr>
      <w:r>
        <w:t>“</w:t>
      </w:r>
      <w:r w:rsidRPr="003D1D5E">
        <w:t xml:space="preserve">Because of the price and their budgets. Had an employee move away to Vegas because housing wasn't </w:t>
      </w:r>
      <w:proofErr w:type="gramStart"/>
      <w:r w:rsidRPr="003D1D5E">
        <w:t>affordable.</w:t>
      </w:r>
      <w:proofErr w:type="gramEnd"/>
      <w:r>
        <w:t>”</w:t>
      </w:r>
    </w:p>
    <w:p w:rsidR="003D1D5E" w:rsidRDefault="003D1D5E" w:rsidP="005D74DC">
      <w:pPr>
        <w:pStyle w:val="ListParagraph"/>
        <w:numPr>
          <w:ilvl w:val="0"/>
          <w:numId w:val="2"/>
        </w:numPr>
      </w:pPr>
      <w:r>
        <w:t>“</w:t>
      </w:r>
      <w:r w:rsidRPr="003D1D5E">
        <w:t>cost of housing</w:t>
      </w:r>
      <w:r>
        <w:t>”</w:t>
      </w:r>
    </w:p>
    <w:p w:rsidR="003D1D5E" w:rsidRDefault="003D1D5E" w:rsidP="005D74DC">
      <w:pPr>
        <w:pStyle w:val="ListParagraph"/>
        <w:numPr>
          <w:ilvl w:val="0"/>
          <w:numId w:val="2"/>
        </w:numPr>
      </w:pPr>
      <w:r>
        <w:t>“</w:t>
      </w:r>
      <w:r w:rsidRPr="003D1D5E">
        <w:t>Our employees don't have problems but we work every day with people who do.</w:t>
      </w:r>
      <w:r>
        <w:t>”</w:t>
      </w:r>
    </w:p>
    <w:p w:rsidR="003D1D5E" w:rsidRDefault="003D1D5E" w:rsidP="005D74DC">
      <w:pPr>
        <w:pStyle w:val="ListParagraph"/>
        <w:numPr>
          <w:ilvl w:val="0"/>
          <w:numId w:val="2"/>
        </w:numPr>
      </w:pPr>
      <w:r>
        <w:t>“</w:t>
      </w:r>
      <w:r w:rsidRPr="003D1D5E">
        <w:t xml:space="preserve">Shortage and cost. It has gotten better with the apartments </w:t>
      </w:r>
      <w:proofErr w:type="gramStart"/>
      <w:r w:rsidRPr="003D1D5E">
        <w:t>being built</w:t>
      </w:r>
      <w:proofErr w:type="gramEnd"/>
      <w:r w:rsidRPr="003D1D5E">
        <w:t>. We have not had a lot of out of town applicants applying, but those that come in are finding housing a little easier than 2 years ago.</w:t>
      </w:r>
      <w:r>
        <w:t>”</w:t>
      </w:r>
    </w:p>
    <w:p w:rsidR="003D1D5E" w:rsidRDefault="003D1D5E" w:rsidP="005D74DC">
      <w:pPr>
        <w:pStyle w:val="ListParagraph"/>
        <w:numPr>
          <w:ilvl w:val="0"/>
          <w:numId w:val="2"/>
        </w:numPr>
      </w:pPr>
      <w:r>
        <w:t>“</w:t>
      </w:r>
      <w:r w:rsidRPr="003D1D5E">
        <w:t>Availability and affordability compared to other areas where these folks have worked previously.</w:t>
      </w:r>
      <w:r>
        <w:t>”</w:t>
      </w:r>
    </w:p>
    <w:p w:rsidR="003D1D5E" w:rsidRDefault="003D1D5E" w:rsidP="005D74DC">
      <w:pPr>
        <w:pStyle w:val="ListParagraph"/>
        <w:numPr>
          <w:ilvl w:val="0"/>
          <w:numId w:val="2"/>
        </w:numPr>
      </w:pPr>
      <w:r>
        <w:t>“</w:t>
      </w:r>
      <w:r w:rsidRPr="003D1D5E">
        <w:t>Had a heavy equipment operator that came to Carlsbad after being hired, stayed in a hotel for a few weeks and then left because he couldn't find housing.</w:t>
      </w:r>
      <w:r>
        <w:t>”</w:t>
      </w:r>
    </w:p>
    <w:p w:rsidR="003D1D5E" w:rsidRDefault="003D1D5E" w:rsidP="005D74DC">
      <w:pPr>
        <w:pStyle w:val="ListParagraph"/>
        <w:numPr>
          <w:ilvl w:val="0"/>
          <w:numId w:val="2"/>
        </w:numPr>
      </w:pPr>
      <w:r>
        <w:t>“</w:t>
      </w:r>
      <w:r w:rsidRPr="003D1D5E">
        <w:t>Lack of housing, cost of housing</w:t>
      </w:r>
      <w:r>
        <w:t>”</w:t>
      </w:r>
    </w:p>
    <w:p w:rsidR="00F32991" w:rsidRDefault="00F32991" w:rsidP="00F32991">
      <w:pPr>
        <w:pStyle w:val="ListParagraph"/>
        <w:numPr>
          <w:ilvl w:val="0"/>
          <w:numId w:val="2"/>
        </w:numPr>
      </w:pPr>
      <w:r>
        <w:t>“</w:t>
      </w:r>
      <w:r w:rsidRPr="005D74DC">
        <w:t>With the addition of several apartment complexes and housing developments in recent years I have heard of no problems with employees finding a place to live whether they are renting or buying.</w:t>
      </w:r>
      <w:r>
        <w:t>”</w:t>
      </w:r>
    </w:p>
    <w:p w:rsidR="00F32991" w:rsidRDefault="00F32991" w:rsidP="00F32991">
      <w:pPr>
        <w:pStyle w:val="ListParagraph"/>
        <w:numPr>
          <w:ilvl w:val="0"/>
          <w:numId w:val="2"/>
        </w:numPr>
      </w:pPr>
      <w:r>
        <w:t>“</w:t>
      </w:r>
      <w:r w:rsidRPr="005D74DC">
        <w:t>But one person had an issue w/ affordability on a rental so they had to relocate to Hobbs for a while. It's an affordability issue, our employees haven't been really affected by it but I know it's an issue for Carlsbad.</w:t>
      </w:r>
      <w:r>
        <w:t>”</w:t>
      </w:r>
    </w:p>
    <w:p w:rsidR="003D1D5E" w:rsidRDefault="003D1D5E" w:rsidP="005D74DC">
      <w:pPr>
        <w:pStyle w:val="ListParagraph"/>
        <w:numPr>
          <w:ilvl w:val="0"/>
          <w:numId w:val="2"/>
        </w:numPr>
      </w:pPr>
      <w:r>
        <w:t>“</w:t>
      </w:r>
      <w:r w:rsidRPr="003D1D5E">
        <w:t>Unless we intervene on their behalf, there is no affordable rental property in Carlsbad. Families are the most difficult. We may try to pair up singles to share apartment living if appropriate.</w:t>
      </w:r>
      <w:r>
        <w:t>”</w:t>
      </w:r>
    </w:p>
    <w:p w:rsidR="003D1D5E" w:rsidRDefault="003D1D5E" w:rsidP="005D74DC">
      <w:pPr>
        <w:pStyle w:val="ListParagraph"/>
        <w:numPr>
          <w:ilvl w:val="0"/>
          <w:numId w:val="2"/>
        </w:numPr>
      </w:pPr>
      <w:r>
        <w:t>“</w:t>
      </w:r>
      <w:r w:rsidRPr="003D1D5E">
        <w:t>more affordable options - especially for rental</w:t>
      </w:r>
      <w:r>
        <w:t>”</w:t>
      </w:r>
    </w:p>
    <w:p w:rsidR="003D1D5E" w:rsidRDefault="003D1D5E" w:rsidP="005D74DC">
      <w:pPr>
        <w:pStyle w:val="ListParagraph"/>
        <w:numPr>
          <w:ilvl w:val="0"/>
          <w:numId w:val="2"/>
        </w:numPr>
      </w:pPr>
      <w:r>
        <w:t>“</w:t>
      </w:r>
      <w:r w:rsidRPr="003D1D5E">
        <w:t>Cost of housing even rentals are prohibitive.</w:t>
      </w:r>
      <w:r>
        <w:t>”</w:t>
      </w:r>
    </w:p>
    <w:p w:rsidR="003D1D5E" w:rsidRDefault="003D1D5E" w:rsidP="005D74DC">
      <w:pPr>
        <w:pStyle w:val="ListParagraph"/>
        <w:numPr>
          <w:ilvl w:val="0"/>
          <w:numId w:val="2"/>
        </w:numPr>
      </w:pPr>
      <w:r>
        <w:t>“</w:t>
      </w:r>
      <w:r w:rsidRPr="003D1D5E">
        <w:t xml:space="preserve">There are not enough affordable rents. Caring Angels is a state funded program so there are caps on what I can pay my employees, which means they are in the low income group of people. Some of my employees are </w:t>
      </w:r>
      <w:proofErr w:type="gramStart"/>
      <w:r w:rsidRPr="003D1D5E">
        <w:t>homeless,</w:t>
      </w:r>
      <w:proofErr w:type="gramEnd"/>
      <w:r w:rsidRPr="003D1D5E">
        <w:t xml:space="preserve"> I have 3 living in their cars.</w:t>
      </w:r>
      <w:r>
        <w:t>”</w:t>
      </w:r>
    </w:p>
    <w:p w:rsidR="00FA0DAF" w:rsidRPr="00FA0DAF" w:rsidRDefault="003D1D5E" w:rsidP="00FA0DAF">
      <w:pPr>
        <w:pStyle w:val="ListParagraph"/>
        <w:numPr>
          <w:ilvl w:val="0"/>
          <w:numId w:val="2"/>
        </w:numPr>
      </w:pPr>
      <w:r>
        <w:t>“</w:t>
      </w:r>
      <w:r w:rsidRPr="003D1D5E">
        <w:t>Our employees are paid at the low end of the local pay rate scale and cannot afford to rent a house or apartment. A lot of them decide to live two or more families together just to be able to afford the rent.</w:t>
      </w:r>
      <w:r>
        <w:t>”</w:t>
      </w:r>
      <w:r w:rsidR="00FA0DAF" w:rsidRPr="00FA0DAF">
        <w:t xml:space="preserve"> “There are no affordable rentals”</w:t>
      </w:r>
    </w:p>
    <w:p w:rsidR="00FA0DAF" w:rsidRPr="00FA0DAF" w:rsidRDefault="00FA0DAF" w:rsidP="00FA0DAF">
      <w:pPr>
        <w:pStyle w:val="ListParagraph"/>
        <w:numPr>
          <w:ilvl w:val="0"/>
          <w:numId w:val="2"/>
        </w:numPr>
      </w:pPr>
      <w:r w:rsidRPr="00FA0DAF">
        <w:t xml:space="preserve">“There is not enough affordable choices. My highest paid journeyman electricians make around $60k but I have lost </w:t>
      </w:r>
      <w:proofErr w:type="gramStart"/>
      <w:r w:rsidRPr="00FA0DAF">
        <w:t>2</w:t>
      </w:r>
      <w:proofErr w:type="gramEnd"/>
      <w:r w:rsidRPr="00FA0DAF">
        <w:t xml:space="preserve"> journeymen because they could not find affordable options. They moved here and then left.”</w:t>
      </w:r>
    </w:p>
    <w:p w:rsidR="00FA0DAF" w:rsidRDefault="00FA0DAF" w:rsidP="00FA0DAF">
      <w:pPr>
        <w:pStyle w:val="ListParagraph"/>
        <w:numPr>
          <w:ilvl w:val="0"/>
          <w:numId w:val="2"/>
        </w:numPr>
      </w:pPr>
      <w:r w:rsidRPr="00FA0DAF">
        <w:t>“too expensive: not enough money for the value offered”</w:t>
      </w:r>
    </w:p>
    <w:p w:rsidR="00522305" w:rsidRDefault="00522305" w:rsidP="00522305"/>
    <w:p w:rsidR="00522305" w:rsidRDefault="00522305" w:rsidP="00522305"/>
    <w:p w:rsidR="00522305" w:rsidRDefault="00522305" w:rsidP="00522305"/>
    <w:p w:rsidR="00FA0DAF" w:rsidRDefault="00FA0DAF" w:rsidP="00FA0DAF">
      <w:pPr>
        <w:pStyle w:val="ListParagraph"/>
      </w:pPr>
    </w:p>
    <w:p w:rsidR="00522305" w:rsidRDefault="00522305" w:rsidP="00FA0DAF">
      <w:pPr>
        <w:pStyle w:val="ListParagraph"/>
      </w:pPr>
    </w:p>
    <w:p w:rsidR="00FA0DAF" w:rsidRPr="00FA0DAF" w:rsidRDefault="00FA0DAF" w:rsidP="00FA0DAF">
      <w:pPr>
        <w:pStyle w:val="ListParagraph"/>
        <w:numPr>
          <w:ilvl w:val="0"/>
          <w:numId w:val="3"/>
        </w:numPr>
        <w:rPr>
          <w:b/>
          <w:i/>
          <w:sz w:val="24"/>
          <w:szCs w:val="24"/>
        </w:rPr>
      </w:pPr>
      <w:r>
        <w:rPr>
          <w:b/>
          <w:i/>
          <w:sz w:val="24"/>
          <w:szCs w:val="24"/>
        </w:rPr>
        <w:lastRenderedPageBreak/>
        <w:t>Future Development</w:t>
      </w:r>
    </w:p>
    <w:p w:rsidR="00E8204E" w:rsidRDefault="00FA0DAF" w:rsidP="00FA0DAF">
      <w:r>
        <w:t xml:space="preserve">All of this information together </w:t>
      </w:r>
      <w:r w:rsidR="00CC79B4">
        <w:t>portrays</w:t>
      </w:r>
      <w:r>
        <w:t xml:space="preserve"> an area with a tight housing market and few rental </w:t>
      </w:r>
      <w:r w:rsidR="00B862FB">
        <w:t>vacancies</w:t>
      </w:r>
      <w:r>
        <w:t xml:space="preserve"> at any price. Some people in the area are reluctant to </w:t>
      </w:r>
      <w:r w:rsidRPr="00F63300">
        <w:t xml:space="preserve">purchase homes in the area believing the prices are too high for the available product or because they worry the </w:t>
      </w:r>
      <w:r w:rsidR="00F75B1E" w:rsidRPr="00F63300">
        <w:t xml:space="preserve">growing </w:t>
      </w:r>
      <w:r w:rsidRPr="00F63300">
        <w:t>oil</w:t>
      </w:r>
      <w:r w:rsidR="00F75B1E" w:rsidRPr="00F63300">
        <w:t xml:space="preserve"> and gas</w:t>
      </w:r>
      <w:r w:rsidRPr="00F63300">
        <w:t xml:space="preserve"> </w:t>
      </w:r>
      <w:r w:rsidR="00F75B1E" w:rsidRPr="00F63300">
        <w:t xml:space="preserve">industry presence </w:t>
      </w:r>
      <w:r w:rsidRPr="00F63300">
        <w:t xml:space="preserve">might end and they </w:t>
      </w:r>
      <w:r>
        <w:t xml:space="preserve">will go </w:t>
      </w:r>
      <w:r w:rsidR="00B862FB">
        <w:t xml:space="preserve">upside down on a high mortgage. A report from the City Planner says these are the newest projects to </w:t>
      </w:r>
      <w:proofErr w:type="gramStart"/>
      <w:r w:rsidR="00B862FB">
        <w:t>be expected</w:t>
      </w:r>
      <w:proofErr w:type="gramEnd"/>
      <w:r w:rsidR="00B862FB">
        <w:t xml:space="preserve"> in Carlsbad. </w:t>
      </w:r>
    </w:p>
    <w:p w:rsidR="00E8204E" w:rsidRPr="00E8204E" w:rsidRDefault="00E8204E" w:rsidP="00FA0DAF">
      <w:pPr>
        <w:rPr>
          <w:b/>
        </w:rPr>
      </w:pPr>
      <w:r w:rsidRPr="00E8204E">
        <w:rPr>
          <w:b/>
        </w:rPr>
        <w:t>Northern Carlsbad</w:t>
      </w:r>
    </w:p>
    <w:p w:rsidR="00E8204E" w:rsidRPr="00E8204E" w:rsidRDefault="00E8204E" w:rsidP="00E8204E">
      <w:pPr>
        <w:numPr>
          <w:ilvl w:val="0"/>
          <w:numId w:val="5"/>
        </w:numPr>
        <w:spacing w:after="200" w:line="276" w:lineRule="auto"/>
      </w:pPr>
      <w:proofErr w:type="spellStart"/>
      <w:r w:rsidRPr="001B64E1">
        <w:rPr>
          <w:b/>
          <w:bCs/>
        </w:rPr>
        <w:t>Copperstone</w:t>
      </w:r>
      <w:proofErr w:type="spellEnd"/>
      <w:r w:rsidRPr="001B64E1">
        <w:rPr>
          <w:b/>
          <w:bCs/>
        </w:rPr>
        <w:t xml:space="preserve"> Estates Subdivision</w:t>
      </w:r>
      <w:r w:rsidRPr="001B64E1">
        <w:t xml:space="preserve">: Houses </w:t>
      </w:r>
      <w:proofErr w:type="gramStart"/>
      <w:r w:rsidRPr="001B64E1">
        <w:t>are being built</w:t>
      </w:r>
      <w:proofErr w:type="gramEnd"/>
      <w:r w:rsidRPr="001B64E1">
        <w:t xml:space="preserve">. </w:t>
      </w:r>
      <w:proofErr w:type="gramStart"/>
      <w:r w:rsidRPr="001B64E1">
        <w:t>A total of 70</w:t>
      </w:r>
      <w:proofErr w:type="gramEnd"/>
      <w:r w:rsidRPr="001B64E1">
        <w:t xml:space="preserve"> new lots for single-family housing. Homes will start at $320k. </w:t>
      </w:r>
      <w:r w:rsidRPr="001B64E1">
        <w:rPr>
          <w:iCs/>
        </w:rPr>
        <w:t>Construction continues. 15-20 lots are still available.</w:t>
      </w:r>
    </w:p>
    <w:p w:rsidR="001B64E1" w:rsidRPr="00E8204E" w:rsidRDefault="001B64E1" w:rsidP="001B64E1">
      <w:pPr>
        <w:numPr>
          <w:ilvl w:val="0"/>
          <w:numId w:val="5"/>
        </w:numPr>
        <w:spacing w:after="200" w:line="276" w:lineRule="auto"/>
      </w:pPr>
      <w:r w:rsidRPr="001B64E1">
        <w:rPr>
          <w:b/>
          <w:bCs/>
          <w:iCs/>
        </w:rPr>
        <w:t>Fountain Hills Subdivision Unit 12</w:t>
      </w:r>
      <w:r w:rsidRPr="001B64E1">
        <w:rPr>
          <w:bCs/>
          <w:iCs/>
        </w:rPr>
        <w:t xml:space="preserve">: </w:t>
      </w:r>
      <w:r w:rsidRPr="001B64E1">
        <w:rPr>
          <w:iCs/>
        </w:rPr>
        <w:t xml:space="preserve">located at the corner of </w:t>
      </w:r>
      <w:proofErr w:type="spellStart"/>
      <w:r w:rsidRPr="001B64E1">
        <w:rPr>
          <w:iCs/>
        </w:rPr>
        <w:t>Miehls</w:t>
      </w:r>
      <w:proofErr w:type="spellEnd"/>
      <w:r w:rsidRPr="001B64E1">
        <w:rPr>
          <w:iCs/>
        </w:rPr>
        <w:t xml:space="preserve"> Dr. and W. Church St. Unit 12 will create 10 new </w:t>
      </w:r>
      <w:proofErr w:type="gramStart"/>
      <w:r w:rsidRPr="001B64E1">
        <w:rPr>
          <w:iCs/>
        </w:rPr>
        <w:t>1</w:t>
      </w:r>
      <w:proofErr w:type="gramEnd"/>
      <w:r w:rsidRPr="001B64E1">
        <w:rPr>
          <w:iCs/>
        </w:rPr>
        <w:t xml:space="preserve"> + acre lots for residential development. The preliminary plat and plans </w:t>
      </w:r>
      <w:proofErr w:type="gramStart"/>
      <w:r w:rsidRPr="001B64E1">
        <w:rPr>
          <w:iCs/>
        </w:rPr>
        <w:t>have been reviewed and approved by the Planning and Zoning Commission</w:t>
      </w:r>
      <w:proofErr w:type="gramEnd"/>
      <w:r w:rsidRPr="001B64E1">
        <w:rPr>
          <w:iCs/>
        </w:rPr>
        <w:t>. The developer is Ken Thurston. Construction should begin soon.</w:t>
      </w:r>
    </w:p>
    <w:p w:rsidR="00E8204E" w:rsidRPr="00E8204E" w:rsidRDefault="00E8204E" w:rsidP="00E8204E">
      <w:pPr>
        <w:numPr>
          <w:ilvl w:val="0"/>
          <w:numId w:val="5"/>
        </w:numPr>
        <w:spacing w:after="200" w:line="276" w:lineRule="auto"/>
      </w:pPr>
      <w:r w:rsidRPr="001B64E1">
        <w:rPr>
          <w:b/>
          <w:bCs/>
        </w:rPr>
        <w:t>Fountain Hills Subdivision Unit 18</w:t>
      </w:r>
      <w:r w:rsidRPr="001B64E1">
        <w:t xml:space="preserve">: Approved by the Planning and Zoning Commission. This development will create 17 new lots for single-family housing. </w:t>
      </w:r>
      <w:r w:rsidRPr="001B64E1">
        <w:rPr>
          <w:iCs/>
        </w:rPr>
        <w:t>Initial construction of the lots and primary infrastructure continues.</w:t>
      </w:r>
    </w:p>
    <w:p w:rsidR="00E8204E" w:rsidRPr="00E8204E" w:rsidRDefault="00E8204E" w:rsidP="00E8204E">
      <w:pPr>
        <w:numPr>
          <w:ilvl w:val="0"/>
          <w:numId w:val="5"/>
        </w:numPr>
        <w:spacing w:after="200" w:line="276" w:lineRule="auto"/>
      </w:pPr>
      <w:r w:rsidRPr="001B64E1">
        <w:rPr>
          <w:b/>
          <w:bCs/>
        </w:rPr>
        <w:t>Freedom Way Subdivision</w:t>
      </w:r>
      <w:r w:rsidRPr="001B64E1">
        <w:rPr>
          <w:bCs/>
        </w:rPr>
        <w:t>:</w:t>
      </w:r>
      <w:r w:rsidRPr="001B64E1">
        <w:t> </w:t>
      </w:r>
      <w:r w:rsidR="0085111C" w:rsidRPr="001B64E1">
        <w:t>The Planning and Zoning Commission have approved this development</w:t>
      </w:r>
      <w:r w:rsidRPr="001B64E1">
        <w:t xml:space="preserve"> and construction on the development is complete. Houses </w:t>
      </w:r>
      <w:proofErr w:type="gramStart"/>
      <w:r w:rsidRPr="001B64E1">
        <w:t>are now being built</w:t>
      </w:r>
      <w:proofErr w:type="gramEnd"/>
      <w:r w:rsidRPr="001B64E1">
        <w:t>. This development created 13 new lots for single-family housing near McKay and Elm St. </w:t>
      </w:r>
      <w:r w:rsidRPr="001B64E1">
        <w:rPr>
          <w:iCs/>
        </w:rPr>
        <w:t xml:space="preserve">Six new homes </w:t>
      </w:r>
      <w:proofErr w:type="gramStart"/>
      <w:r w:rsidRPr="001B64E1">
        <w:rPr>
          <w:iCs/>
        </w:rPr>
        <w:t>have been built</w:t>
      </w:r>
      <w:proofErr w:type="gramEnd"/>
      <w:r w:rsidRPr="001B64E1">
        <w:rPr>
          <w:iCs/>
        </w:rPr>
        <w:t xml:space="preserve"> in this development, and a seventh home is under construction.</w:t>
      </w:r>
    </w:p>
    <w:p w:rsidR="00E8204E" w:rsidRPr="00E8204E" w:rsidRDefault="00E8204E" w:rsidP="00E8204E">
      <w:pPr>
        <w:numPr>
          <w:ilvl w:val="0"/>
          <w:numId w:val="5"/>
        </w:numPr>
        <w:spacing w:after="200" w:line="276" w:lineRule="auto"/>
      </w:pPr>
      <w:r w:rsidRPr="001B64E1">
        <w:rPr>
          <w:b/>
          <w:bCs/>
        </w:rPr>
        <w:t>Spring Hollow Subdivision, Unit 2, Phase 1</w:t>
      </w:r>
      <w:r w:rsidRPr="001B64E1">
        <w:rPr>
          <w:bCs/>
        </w:rPr>
        <w:t>:</w:t>
      </w:r>
      <w:r w:rsidRPr="001B64E1">
        <w:t xml:space="preserve"> Located north of </w:t>
      </w:r>
      <w:proofErr w:type="spellStart"/>
      <w:r w:rsidRPr="001B64E1">
        <w:t>Ligon</w:t>
      </w:r>
      <w:proofErr w:type="spellEnd"/>
      <w:r w:rsidRPr="001B64E1">
        <w:t xml:space="preserve"> Rd., north of Spring Hollow Subdivision Unit 1. This is new construction, single-family homes. </w:t>
      </w:r>
      <w:proofErr w:type="gramStart"/>
      <w:r w:rsidRPr="001B64E1">
        <w:t>76</w:t>
      </w:r>
      <w:proofErr w:type="gramEnd"/>
      <w:r w:rsidRPr="001B64E1">
        <w:t xml:space="preserve"> new lots were created for single-family homes. About 60 of units </w:t>
      </w:r>
      <w:proofErr w:type="gramStart"/>
      <w:r w:rsidRPr="001B64E1">
        <w:t>have been built</w:t>
      </w:r>
      <w:proofErr w:type="gramEnd"/>
      <w:r w:rsidRPr="001B64E1">
        <w:t xml:space="preserve">. </w:t>
      </w:r>
      <w:r w:rsidRPr="001B64E1">
        <w:rPr>
          <w:iCs/>
        </w:rPr>
        <w:t>About 8-10 lots are still available for this subdivision.</w:t>
      </w:r>
    </w:p>
    <w:p w:rsidR="00E8204E" w:rsidRPr="00E8204E" w:rsidRDefault="00E8204E" w:rsidP="00E8204E">
      <w:pPr>
        <w:numPr>
          <w:ilvl w:val="0"/>
          <w:numId w:val="5"/>
        </w:numPr>
        <w:spacing w:after="200" w:line="276" w:lineRule="auto"/>
      </w:pPr>
      <w:r w:rsidRPr="001B64E1">
        <w:rPr>
          <w:b/>
          <w:bCs/>
        </w:rPr>
        <w:t>Pecos Vista Apartments</w:t>
      </w:r>
      <w:r w:rsidRPr="001B64E1">
        <w:t xml:space="preserve">: Broke ground on April 21, 2017. Construction nearing completion for 196 market rate units. Eight units </w:t>
      </w:r>
      <w:proofErr w:type="gramStart"/>
      <w:r w:rsidRPr="001B64E1">
        <w:t>were dropped</w:t>
      </w:r>
      <w:proofErr w:type="gramEnd"/>
      <w:r w:rsidRPr="001B64E1">
        <w:t xml:space="preserve"> from the original permit that was pulled. </w:t>
      </w:r>
      <w:r w:rsidRPr="001B64E1">
        <w:rPr>
          <w:iCs/>
        </w:rPr>
        <w:t>Construction continues. Preliminary estimation of a completion date is set for mid-February 2018.</w:t>
      </w:r>
    </w:p>
    <w:p w:rsidR="00E8204E" w:rsidRPr="001B64E1" w:rsidRDefault="00E8204E" w:rsidP="00E8204E">
      <w:pPr>
        <w:numPr>
          <w:ilvl w:val="0"/>
          <w:numId w:val="5"/>
        </w:numPr>
        <w:spacing w:after="200" w:line="276" w:lineRule="auto"/>
      </w:pPr>
      <w:r w:rsidRPr="001B64E1">
        <w:rPr>
          <w:b/>
          <w:bCs/>
        </w:rPr>
        <w:t>Colonial Hillcrest Apartment rehabilitation</w:t>
      </w:r>
      <w:r w:rsidRPr="001B64E1">
        <w:t xml:space="preserve">: This project is under construction now. No new units will be </w:t>
      </w:r>
      <w:proofErr w:type="gramStart"/>
      <w:r w:rsidRPr="001B64E1">
        <w:t>created,</w:t>
      </w:r>
      <w:proofErr w:type="gramEnd"/>
      <w:r w:rsidRPr="001B64E1">
        <w:t xml:space="preserve"> will be a rehab of the existing units. </w:t>
      </w:r>
      <w:r w:rsidRPr="001B64E1">
        <w:rPr>
          <w:iCs/>
        </w:rPr>
        <w:t>Estimated date of completion should be shortly after the first of the year.</w:t>
      </w:r>
    </w:p>
    <w:p w:rsidR="00E8204E" w:rsidRPr="00E8204E" w:rsidRDefault="00E8204E" w:rsidP="00E8204E">
      <w:pPr>
        <w:rPr>
          <w:b/>
        </w:rPr>
      </w:pPr>
      <w:r w:rsidRPr="00E8204E">
        <w:rPr>
          <w:b/>
        </w:rPr>
        <w:t>Southern Carlsbad</w:t>
      </w:r>
    </w:p>
    <w:p w:rsidR="001B64E1" w:rsidRPr="001B64E1" w:rsidRDefault="001B64E1" w:rsidP="001B64E1">
      <w:pPr>
        <w:numPr>
          <w:ilvl w:val="0"/>
          <w:numId w:val="6"/>
        </w:numPr>
        <w:spacing w:after="200" w:line="276" w:lineRule="auto"/>
      </w:pPr>
      <w:proofErr w:type="spellStart"/>
      <w:r w:rsidRPr="001B64E1">
        <w:rPr>
          <w:b/>
          <w:bCs/>
          <w:iCs/>
        </w:rPr>
        <w:t>Farmview</w:t>
      </w:r>
      <w:proofErr w:type="spellEnd"/>
      <w:r w:rsidRPr="001B64E1">
        <w:rPr>
          <w:b/>
          <w:bCs/>
          <w:iCs/>
        </w:rPr>
        <w:t xml:space="preserve"> Subdivision Phase 5</w:t>
      </w:r>
      <w:r w:rsidRPr="001B64E1">
        <w:rPr>
          <w:bCs/>
          <w:iCs/>
        </w:rPr>
        <w:t xml:space="preserve">: </w:t>
      </w:r>
      <w:r w:rsidRPr="001B64E1">
        <w:rPr>
          <w:iCs/>
        </w:rPr>
        <w:t xml:space="preserve">located at the corner of Elgin Rd. and Cowboy Country Rd. This phase will create 14 new </w:t>
      </w:r>
      <w:proofErr w:type="gramStart"/>
      <w:r w:rsidRPr="001B64E1">
        <w:rPr>
          <w:iCs/>
        </w:rPr>
        <w:t>¼ acre</w:t>
      </w:r>
      <w:proofErr w:type="gramEnd"/>
      <w:r w:rsidRPr="001B64E1">
        <w:rPr>
          <w:iCs/>
        </w:rPr>
        <w:t xml:space="preserve"> lots for residential development. The preliminary plat and plans </w:t>
      </w:r>
      <w:proofErr w:type="gramStart"/>
      <w:r w:rsidRPr="001B64E1">
        <w:rPr>
          <w:iCs/>
        </w:rPr>
        <w:t>have been submitted</w:t>
      </w:r>
      <w:proofErr w:type="gramEnd"/>
      <w:r w:rsidRPr="001B64E1">
        <w:rPr>
          <w:iCs/>
        </w:rPr>
        <w:t xml:space="preserve"> for consideration at the Dec. 4, 2017, Planning and Zoning Commission. The developer is Ken Thurston. The property owner is </w:t>
      </w:r>
      <w:proofErr w:type="spellStart"/>
      <w:r w:rsidRPr="001B64E1">
        <w:rPr>
          <w:iCs/>
        </w:rPr>
        <w:t>Walterscheid</w:t>
      </w:r>
      <w:proofErr w:type="spellEnd"/>
      <w:r w:rsidRPr="001B64E1">
        <w:rPr>
          <w:iCs/>
        </w:rPr>
        <w:t xml:space="preserve"> Trucking and Farms Inc.</w:t>
      </w:r>
    </w:p>
    <w:p w:rsidR="001B64E1" w:rsidRPr="001B64E1" w:rsidRDefault="001B64E1" w:rsidP="001B64E1">
      <w:pPr>
        <w:numPr>
          <w:ilvl w:val="0"/>
          <w:numId w:val="7"/>
        </w:numPr>
        <w:spacing w:after="200" w:line="276" w:lineRule="auto"/>
      </w:pPr>
      <w:r w:rsidRPr="001B64E1">
        <w:rPr>
          <w:b/>
          <w:bCs/>
        </w:rPr>
        <w:lastRenderedPageBreak/>
        <w:t>Martin Farms Subdivision Unit 1</w:t>
      </w:r>
      <w:r w:rsidRPr="001B64E1">
        <w:rPr>
          <w:bCs/>
        </w:rPr>
        <w:t>:</w:t>
      </w:r>
      <w:r w:rsidRPr="001B64E1">
        <w:t xml:space="preserve"> Scheduled to </w:t>
      </w:r>
      <w:proofErr w:type="gramStart"/>
      <w:r w:rsidRPr="001B64E1">
        <w:t>be heard</w:t>
      </w:r>
      <w:proofErr w:type="gramEnd"/>
      <w:r w:rsidRPr="001B64E1">
        <w:t xml:space="preserve"> by the Planning and Zoning Commission in August</w:t>
      </w:r>
      <w:r w:rsidR="00E8204E">
        <w:t xml:space="preserve"> 2017</w:t>
      </w:r>
      <w:r w:rsidRPr="001B64E1">
        <w:t xml:space="preserve">. This development will create 33 new lots for single-family housing. Unit 1 is part of a larger master plan for Martin Farms. Preliminary plans indicate that approximately 300 new lots </w:t>
      </w:r>
      <w:proofErr w:type="gramStart"/>
      <w:r w:rsidRPr="001B64E1">
        <w:t>will be created and installed in the subsequent units</w:t>
      </w:r>
      <w:proofErr w:type="gramEnd"/>
      <w:r w:rsidRPr="001B64E1">
        <w:t>. Located off Old Cavern Hwy and Farris St. </w:t>
      </w:r>
      <w:r w:rsidRPr="001B64E1">
        <w:rPr>
          <w:iCs/>
        </w:rPr>
        <w:t>Unit 1 preliminary plat and construction plans were approved by the Planning and Zoning Commission at the August 7, 2017, meeting. Construction has begun. The initial construction of the lots and primary infrastructure is nearing 75% completion.</w:t>
      </w:r>
    </w:p>
    <w:p w:rsidR="001B64E1" w:rsidRPr="001B64E1" w:rsidRDefault="001B64E1" w:rsidP="001B64E1">
      <w:pPr>
        <w:numPr>
          <w:ilvl w:val="0"/>
          <w:numId w:val="7"/>
        </w:numPr>
        <w:spacing w:after="200" w:line="276" w:lineRule="auto"/>
      </w:pPr>
      <w:proofErr w:type="spellStart"/>
      <w:r w:rsidRPr="001B64E1">
        <w:rPr>
          <w:b/>
          <w:bCs/>
        </w:rPr>
        <w:t>Sunwest</w:t>
      </w:r>
      <w:proofErr w:type="spellEnd"/>
      <w:r w:rsidRPr="001B64E1">
        <w:rPr>
          <w:b/>
          <w:bCs/>
        </w:rPr>
        <w:t xml:space="preserve"> Subdivision Unit 7</w:t>
      </w:r>
      <w:r w:rsidRPr="001B64E1">
        <w:t>: Scheduled to appear before the Planning and Zoning Commission in August 2017. This development will create 55 new lots for single-family housing. Modular, pre-fab homes. </w:t>
      </w:r>
      <w:r w:rsidRPr="001B64E1">
        <w:rPr>
          <w:iCs/>
        </w:rPr>
        <w:t xml:space="preserve">The </w:t>
      </w:r>
      <w:proofErr w:type="gramStart"/>
      <w:r w:rsidRPr="001B64E1">
        <w:rPr>
          <w:iCs/>
        </w:rPr>
        <w:t>preliminary plat and plans were approved by the Planning and Zoning Commission at the Special Meeting</w:t>
      </w:r>
      <w:proofErr w:type="gramEnd"/>
      <w:r w:rsidRPr="001B64E1">
        <w:rPr>
          <w:iCs/>
        </w:rPr>
        <w:t xml:space="preserve"> on Friday, August 18, 2017. Initial construction on the lots and primary infrastructure for this project has begun.</w:t>
      </w:r>
    </w:p>
    <w:p w:rsidR="001B64E1" w:rsidRPr="001B64E1" w:rsidRDefault="001B64E1" w:rsidP="001B64E1">
      <w:pPr>
        <w:numPr>
          <w:ilvl w:val="0"/>
          <w:numId w:val="7"/>
        </w:numPr>
        <w:spacing w:after="200" w:line="276" w:lineRule="auto"/>
      </w:pPr>
      <w:r w:rsidRPr="001B64E1">
        <w:rPr>
          <w:b/>
          <w:bCs/>
        </w:rPr>
        <w:t>Montclair Development</w:t>
      </w:r>
      <w:r w:rsidRPr="001B64E1">
        <w:rPr>
          <w:bCs/>
        </w:rPr>
        <w:t>:</w:t>
      </w:r>
      <w:r w:rsidRPr="001B64E1">
        <w:t> </w:t>
      </w:r>
      <w:r w:rsidR="0085111C" w:rsidRPr="001B64E1">
        <w:t>the Planning and Zoning Commission as well as City Council have approved this development</w:t>
      </w:r>
      <w:r w:rsidRPr="001B64E1">
        <w:t>. It is combination of residential, commercial, and industrial developments. When building begins there will accommodation for approximately 2,800 single-family dwelling units and 1,200 multifamily units. Montclair will be beginning with industrial land development over the first 1-3 years. </w:t>
      </w:r>
      <w:r w:rsidRPr="001B64E1">
        <w:rPr>
          <w:iCs/>
        </w:rPr>
        <w:t xml:space="preserve">The development agreement </w:t>
      </w:r>
      <w:proofErr w:type="gramStart"/>
      <w:r w:rsidRPr="001B64E1">
        <w:rPr>
          <w:iCs/>
        </w:rPr>
        <w:t>was presented</w:t>
      </w:r>
      <w:proofErr w:type="gramEnd"/>
      <w:r w:rsidRPr="001B64E1">
        <w:rPr>
          <w:iCs/>
        </w:rPr>
        <w:t xml:space="preserve"> to the City Council at the November 21, 2017, Special Meeting, and the Council voted to approve the agreement. The developer now needs to file the annexation plat, Ordinance, and development agreement with the County Clerk.</w:t>
      </w:r>
    </w:p>
    <w:p w:rsidR="00EE4332" w:rsidRDefault="00B862FB" w:rsidP="00B862FB">
      <w:pPr>
        <w:spacing w:after="200" w:line="276" w:lineRule="auto"/>
      </w:pPr>
      <w:r>
        <w:t xml:space="preserve">The table below is a numerical representation of the report provided by the </w:t>
      </w:r>
      <w:r w:rsidR="00AA1609">
        <w:t xml:space="preserve">Carlsbad </w:t>
      </w:r>
      <w:r>
        <w:t xml:space="preserve">City Planner so there may be some overlap between current building report data and future building permits to </w:t>
      </w:r>
      <w:proofErr w:type="gramStart"/>
      <w:r>
        <w:t>be pulled</w:t>
      </w:r>
      <w:proofErr w:type="gramEnd"/>
      <w:r w:rsidR="00EE4332">
        <w:t xml:space="preserve">. </w:t>
      </w:r>
    </w:p>
    <w:p w:rsidR="001B64E1" w:rsidRDefault="00EE4332" w:rsidP="00B862FB">
      <w:pPr>
        <w:spacing w:after="200" w:line="276" w:lineRule="auto"/>
      </w:pPr>
      <w:r>
        <w:t xml:space="preserve">The planning and zoning commission approved the majority of these projects and they </w:t>
      </w:r>
      <w:proofErr w:type="gramStart"/>
      <w:r>
        <w:t>are now in the construction phase adding</w:t>
      </w:r>
      <w:proofErr w:type="gramEnd"/>
      <w:r>
        <w:t xml:space="preserve"> </w:t>
      </w:r>
      <w:r w:rsidR="00815C28">
        <w:t>484 units of housing</w:t>
      </w:r>
      <w:r>
        <w:t>. An additional 4,300 units are in discussion but will still have a series of steps to take before construction begins. If completed</w:t>
      </w:r>
      <w:r w:rsidR="00AA1609">
        <w:t xml:space="preserve">, the deficit of needed housing </w:t>
      </w:r>
      <w:proofErr w:type="gramStart"/>
      <w:r w:rsidR="00AA1609">
        <w:t>could be reduced</w:t>
      </w:r>
      <w:proofErr w:type="gramEnd"/>
      <w:r w:rsidR="00AA1609">
        <w:t xml:space="preserve"> from an estimate of 6,5</w:t>
      </w:r>
      <w:r w:rsidR="008F2525">
        <w:t>32-7,072 to an estimate of 1,748-2,288</w:t>
      </w:r>
      <w:r w:rsidR="00AA1609">
        <w:t>. However, based off the fact that Carlsbad has added 2,116 housing units over a s</w:t>
      </w:r>
      <w:r w:rsidR="008F2525">
        <w:t>even-year period, building 4,784</w:t>
      </w:r>
      <w:r w:rsidR="00AA1609">
        <w:t xml:space="preserve"> within the next two years seems unlikely.</w:t>
      </w:r>
      <w:r w:rsidR="00FC7918">
        <w:t xml:space="preserve"> The proposed </w:t>
      </w:r>
      <w:r>
        <w:t xml:space="preserve">total </w:t>
      </w:r>
      <w:r w:rsidR="00FC7918">
        <w:t xml:space="preserve">number is also conditional based on the ability to recruit builders to projects such as </w:t>
      </w:r>
      <w:r w:rsidR="0085111C">
        <w:t>Montclair, which has put around 4,000 units, both single-family and multi-family units, into their PUD,</w:t>
      </w:r>
      <w:r w:rsidR="00FC7918">
        <w:t xml:space="preserve"> but will still need assis</w:t>
      </w:r>
      <w:r w:rsidR="003359EA">
        <w:t xml:space="preserve">tance in recruiting </w:t>
      </w:r>
      <w:r>
        <w:t>builders</w:t>
      </w:r>
      <w:r w:rsidR="003359EA">
        <w:t>.</w:t>
      </w:r>
    </w:p>
    <w:p w:rsidR="004B6181" w:rsidRDefault="004B6181" w:rsidP="00B862FB">
      <w:pPr>
        <w:spacing w:after="200" w:line="276" w:lineRule="auto"/>
      </w:pPr>
    </w:p>
    <w:p w:rsidR="004B6181" w:rsidRDefault="004B6181" w:rsidP="00B862FB">
      <w:pPr>
        <w:spacing w:after="200" w:line="276" w:lineRule="auto"/>
      </w:pPr>
    </w:p>
    <w:p w:rsidR="004B6181" w:rsidRDefault="004B6181" w:rsidP="00B862FB">
      <w:pPr>
        <w:spacing w:after="200" w:line="276" w:lineRule="auto"/>
      </w:pPr>
    </w:p>
    <w:p w:rsidR="004B6181" w:rsidRDefault="004B6181" w:rsidP="00B862FB">
      <w:pPr>
        <w:spacing w:after="200" w:line="276" w:lineRule="auto"/>
      </w:pPr>
    </w:p>
    <w:p w:rsidR="004B6181" w:rsidRPr="003359EA" w:rsidRDefault="004B6181" w:rsidP="00B862FB">
      <w:pPr>
        <w:spacing w:after="200" w:line="276" w:lineRule="auto"/>
      </w:pPr>
    </w:p>
    <w:p w:rsidR="00B862FB" w:rsidRPr="00B862FB" w:rsidRDefault="00B862FB" w:rsidP="00B862FB">
      <w:pPr>
        <w:spacing w:after="200" w:line="276" w:lineRule="auto"/>
        <w:rPr>
          <w:b/>
        </w:rPr>
      </w:pPr>
      <w:r w:rsidRPr="00B862FB">
        <w:rPr>
          <w:b/>
        </w:rPr>
        <w:lastRenderedPageBreak/>
        <w:t xml:space="preserve">Table 6. Future Residential Development </w:t>
      </w:r>
      <w:proofErr w:type="spellStart"/>
      <w:r w:rsidRPr="00B862FB">
        <w:rPr>
          <w:b/>
        </w:rPr>
        <w:t>Qtr</w:t>
      </w:r>
      <w:proofErr w:type="spellEnd"/>
      <w:r w:rsidRPr="00B862FB">
        <w:rPr>
          <w:b/>
        </w:rPr>
        <w:t xml:space="preserve"> 2-Qtr 3 2017</w:t>
      </w:r>
    </w:p>
    <w:tbl>
      <w:tblPr>
        <w:tblStyle w:val="TableGrid"/>
        <w:tblW w:w="10183" w:type="dxa"/>
        <w:tblLook w:val="04A0" w:firstRow="1" w:lastRow="0" w:firstColumn="1" w:lastColumn="0" w:noHBand="0" w:noVBand="1"/>
      </w:tblPr>
      <w:tblGrid>
        <w:gridCol w:w="2293"/>
        <w:gridCol w:w="1656"/>
        <w:gridCol w:w="1558"/>
        <w:gridCol w:w="1558"/>
        <w:gridCol w:w="1559"/>
        <w:gridCol w:w="1559"/>
      </w:tblGrid>
      <w:tr w:rsidR="00B862FB" w:rsidTr="008F2525">
        <w:tc>
          <w:tcPr>
            <w:tcW w:w="2293" w:type="dxa"/>
            <w:shd w:val="clear" w:color="auto" w:fill="000000" w:themeFill="text1"/>
          </w:tcPr>
          <w:p w:rsidR="00B862FB" w:rsidRDefault="00E8204E" w:rsidP="00D0270A">
            <w:r>
              <w:t>Residential Units</w:t>
            </w:r>
          </w:p>
        </w:tc>
        <w:tc>
          <w:tcPr>
            <w:tcW w:w="1656" w:type="dxa"/>
            <w:shd w:val="clear" w:color="auto" w:fill="000000" w:themeFill="text1"/>
          </w:tcPr>
          <w:p w:rsidR="00B862FB" w:rsidRDefault="00B862FB" w:rsidP="00D0270A">
            <w:r>
              <w:t>Manufactured Housing/Mobile Homes</w:t>
            </w:r>
          </w:p>
        </w:tc>
        <w:tc>
          <w:tcPr>
            <w:tcW w:w="1558" w:type="dxa"/>
            <w:shd w:val="clear" w:color="auto" w:fill="000000" w:themeFill="text1"/>
          </w:tcPr>
          <w:p w:rsidR="00B862FB" w:rsidRDefault="00B862FB" w:rsidP="00D0270A">
            <w:r>
              <w:t>Total Single Family</w:t>
            </w:r>
          </w:p>
        </w:tc>
        <w:tc>
          <w:tcPr>
            <w:tcW w:w="1558" w:type="dxa"/>
            <w:shd w:val="clear" w:color="auto" w:fill="000000" w:themeFill="text1"/>
          </w:tcPr>
          <w:p w:rsidR="00B862FB" w:rsidRDefault="00B862FB" w:rsidP="00D0270A">
            <w:r>
              <w:t>No. of Apt Units</w:t>
            </w:r>
          </w:p>
        </w:tc>
        <w:tc>
          <w:tcPr>
            <w:tcW w:w="1559" w:type="dxa"/>
            <w:shd w:val="clear" w:color="auto" w:fill="000000" w:themeFill="text1"/>
          </w:tcPr>
          <w:p w:rsidR="00B862FB" w:rsidRDefault="00B862FB" w:rsidP="00D0270A">
            <w:r>
              <w:t>Duplex Units</w:t>
            </w:r>
          </w:p>
        </w:tc>
        <w:tc>
          <w:tcPr>
            <w:tcW w:w="1559" w:type="dxa"/>
            <w:shd w:val="clear" w:color="auto" w:fill="000000" w:themeFill="text1"/>
          </w:tcPr>
          <w:p w:rsidR="00B862FB" w:rsidRDefault="00B862FB" w:rsidP="00D0270A">
            <w:r>
              <w:t>Total Housing Units</w:t>
            </w:r>
          </w:p>
        </w:tc>
      </w:tr>
      <w:tr w:rsidR="00B862FB" w:rsidTr="008F2525">
        <w:tc>
          <w:tcPr>
            <w:tcW w:w="2293" w:type="dxa"/>
          </w:tcPr>
          <w:p w:rsidR="00E8204E" w:rsidRPr="008F2525" w:rsidRDefault="008F2525" w:rsidP="00E8204E">
            <w:pPr>
              <w:rPr>
                <w:b/>
              </w:rPr>
            </w:pPr>
            <w:r w:rsidRPr="008F2525">
              <w:rPr>
                <w:b/>
              </w:rPr>
              <w:t xml:space="preserve">Plats </w:t>
            </w:r>
            <w:r w:rsidR="00E8204E" w:rsidRPr="008F2525">
              <w:rPr>
                <w:b/>
              </w:rPr>
              <w:t>Approved by Planning &amp; Zoning Commission or In Construction Phase</w:t>
            </w:r>
          </w:p>
        </w:tc>
        <w:tc>
          <w:tcPr>
            <w:tcW w:w="1656" w:type="dxa"/>
          </w:tcPr>
          <w:p w:rsidR="00B862FB" w:rsidRDefault="008F2525" w:rsidP="00D0270A">
            <w:pPr>
              <w:jc w:val="center"/>
            </w:pPr>
            <w:r>
              <w:t>55</w:t>
            </w:r>
          </w:p>
        </w:tc>
        <w:tc>
          <w:tcPr>
            <w:tcW w:w="1558" w:type="dxa"/>
          </w:tcPr>
          <w:p w:rsidR="00B862FB" w:rsidRDefault="008F2525" w:rsidP="00D0270A">
            <w:pPr>
              <w:jc w:val="center"/>
            </w:pPr>
            <w:r>
              <w:t>233</w:t>
            </w:r>
          </w:p>
        </w:tc>
        <w:tc>
          <w:tcPr>
            <w:tcW w:w="1558" w:type="dxa"/>
          </w:tcPr>
          <w:p w:rsidR="00B862FB" w:rsidRDefault="008F2525" w:rsidP="00D0270A">
            <w:pPr>
              <w:jc w:val="center"/>
            </w:pPr>
            <w:r>
              <w:t>196</w:t>
            </w:r>
          </w:p>
        </w:tc>
        <w:tc>
          <w:tcPr>
            <w:tcW w:w="1559" w:type="dxa"/>
          </w:tcPr>
          <w:p w:rsidR="00B862FB" w:rsidRDefault="00B862FB" w:rsidP="00D0270A">
            <w:pPr>
              <w:jc w:val="center"/>
            </w:pPr>
            <w:r>
              <w:t>0</w:t>
            </w:r>
          </w:p>
        </w:tc>
        <w:tc>
          <w:tcPr>
            <w:tcW w:w="1559" w:type="dxa"/>
          </w:tcPr>
          <w:p w:rsidR="00B862FB" w:rsidRDefault="008F2525" w:rsidP="00D0270A">
            <w:pPr>
              <w:jc w:val="center"/>
            </w:pPr>
            <w:r>
              <w:t>484</w:t>
            </w:r>
          </w:p>
        </w:tc>
      </w:tr>
      <w:tr w:rsidR="00E8204E" w:rsidTr="008F2525">
        <w:tc>
          <w:tcPr>
            <w:tcW w:w="2293" w:type="dxa"/>
          </w:tcPr>
          <w:p w:rsidR="00E8204E" w:rsidRPr="008F2525" w:rsidRDefault="00E8204E" w:rsidP="00D0270A">
            <w:pPr>
              <w:rPr>
                <w:b/>
              </w:rPr>
            </w:pPr>
            <w:r w:rsidRPr="008F2525">
              <w:rPr>
                <w:b/>
              </w:rPr>
              <w:t>Future Plans Not Yet A</w:t>
            </w:r>
            <w:r w:rsidR="008F2525" w:rsidRPr="008F2525">
              <w:rPr>
                <w:b/>
              </w:rPr>
              <w:t>pproved</w:t>
            </w:r>
          </w:p>
        </w:tc>
        <w:tc>
          <w:tcPr>
            <w:tcW w:w="1656" w:type="dxa"/>
          </w:tcPr>
          <w:p w:rsidR="00E8204E" w:rsidRDefault="008F2525" w:rsidP="00D0270A">
            <w:pPr>
              <w:jc w:val="center"/>
            </w:pPr>
            <w:r>
              <w:t>0</w:t>
            </w:r>
          </w:p>
        </w:tc>
        <w:tc>
          <w:tcPr>
            <w:tcW w:w="1558" w:type="dxa"/>
          </w:tcPr>
          <w:p w:rsidR="00E8204E" w:rsidRDefault="008F2525" w:rsidP="00D0270A">
            <w:pPr>
              <w:jc w:val="center"/>
            </w:pPr>
            <w:r>
              <w:t>3,100</w:t>
            </w:r>
          </w:p>
        </w:tc>
        <w:tc>
          <w:tcPr>
            <w:tcW w:w="1558" w:type="dxa"/>
          </w:tcPr>
          <w:p w:rsidR="00E8204E" w:rsidRDefault="008F2525" w:rsidP="00D0270A">
            <w:pPr>
              <w:jc w:val="center"/>
            </w:pPr>
            <w:r>
              <w:t>1,200</w:t>
            </w:r>
          </w:p>
        </w:tc>
        <w:tc>
          <w:tcPr>
            <w:tcW w:w="1559" w:type="dxa"/>
          </w:tcPr>
          <w:p w:rsidR="00E8204E" w:rsidRDefault="008F2525" w:rsidP="00D0270A">
            <w:pPr>
              <w:jc w:val="center"/>
            </w:pPr>
            <w:r>
              <w:t>0</w:t>
            </w:r>
          </w:p>
        </w:tc>
        <w:tc>
          <w:tcPr>
            <w:tcW w:w="1559" w:type="dxa"/>
          </w:tcPr>
          <w:p w:rsidR="00E8204E" w:rsidRDefault="008F2525" w:rsidP="00D0270A">
            <w:pPr>
              <w:jc w:val="center"/>
            </w:pPr>
            <w:r>
              <w:t>4,300</w:t>
            </w:r>
          </w:p>
        </w:tc>
      </w:tr>
      <w:tr w:rsidR="008F2525" w:rsidTr="008F2525">
        <w:tc>
          <w:tcPr>
            <w:tcW w:w="2293" w:type="dxa"/>
          </w:tcPr>
          <w:p w:rsidR="008F2525" w:rsidRPr="008F2525" w:rsidRDefault="008F2525" w:rsidP="00D0270A">
            <w:pPr>
              <w:rPr>
                <w:b/>
              </w:rPr>
            </w:pPr>
            <w:r w:rsidRPr="008F2525">
              <w:rPr>
                <w:b/>
              </w:rPr>
              <w:t>Total Units to Be Created</w:t>
            </w:r>
          </w:p>
        </w:tc>
        <w:tc>
          <w:tcPr>
            <w:tcW w:w="1656" w:type="dxa"/>
          </w:tcPr>
          <w:p w:rsidR="008F2525" w:rsidRDefault="008F2525" w:rsidP="00D0270A">
            <w:pPr>
              <w:jc w:val="center"/>
            </w:pPr>
            <w:r>
              <w:t>55</w:t>
            </w:r>
          </w:p>
        </w:tc>
        <w:tc>
          <w:tcPr>
            <w:tcW w:w="1558" w:type="dxa"/>
          </w:tcPr>
          <w:p w:rsidR="008F2525" w:rsidRDefault="008F2525" w:rsidP="00D0270A">
            <w:pPr>
              <w:jc w:val="center"/>
            </w:pPr>
            <w:r>
              <w:t>3,333</w:t>
            </w:r>
          </w:p>
        </w:tc>
        <w:tc>
          <w:tcPr>
            <w:tcW w:w="1558" w:type="dxa"/>
          </w:tcPr>
          <w:p w:rsidR="008F2525" w:rsidRDefault="008F2525" w:rsidP="00D0270A">
            <w:pPr>
              <w:jc w:val="center"/>
            </w:pPr>
            <w:r>
              <w:t>1,396</w:t>
            </w:r>
          </w:p>
        </w:tc>
        <w:tc>
          <w:tcPr>
            <w:tcW w:w="1559" w:type="dxa"/>
          </w:tcPr>
          <w:p w:rsidR="008F2525" w:rsidRDefault="008F2525" w:rsidP="00D0270A">
            <w:pPr>
              <w:jc w:val="center"/>
            </w:pPr>
            <w:r>
              <w:t>0</w:t>
            </w:r>
          </w:p>
        </w:tc>
        <w:tc>
          <w:tcPr>
            <w:tcW w:w="1559" w:type="dxa"/>
          </w:tcPr>
          <w:p w:rsidR="008F2525" w:rsidRDefault="008F2525" w:rsidP="00D0270A">
            <w:pPr>
              <w:jc w:val="center"/>
            </w:pPr>
            <w:r>
              <w:t>4,784</w:t>
            </w:r>
          </w:p>
        </w:tc>
      </w:tr>
    </w:tbl>
    <w:p w:rsidR="00522305" w:rsidRDefault="00491A44" w:rsidP="00B862FB">
      <w:pPr>
        <w:spacing w:after="200" w:line="276" w:lineRule="auto"/>
        <w:rPr>
          <w:sz w:val="18"/>
        </w:rPr>
      </w:pPr>
      <w:r w:rsidRPr="00491A44">
        <w:rPr>
          <w:sz w:val="18"/>
        </w:rPr>
        <w:t>Source: City of Carlsbad 2017</w:t>
      </w: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522305" w:rsidRDefault="00522305" w:rsidP="00B862FB">
      <w:pPr>
        <w:spacing w:after="200" w:line="276" w:lineRule="auto"/>
      </w:pPr>
    </w:p>
    <w:p w:rsidR="008B22C3" w:rsidRPr="008B22C3" w:rsidRDefault="008B22C3" w:rsidP="008B22C3">
      <w:pPr>
        <w:pStyle w:val="ListParagraph"/>
        <w:numPr>
          <w:ilvl w:val="0"/>
          <w:numId w:val="3"/>
        </w:numPr>
        <w:spacing w:after="200" w:line="276" w:lineRule="auto"/>
        <w:rPr>
          <w:b/>
          <w:i/>
        </w:rPr>
      </w:pPr>
      <w:r w:rsidRPr="008B22C3">
        <w:rPr>
          <w:b/>
          <w:i/>
        </w:rPr>
        <w:lastRenderedPageBreak/>
        <w:t>Conclusion</w:t>
      </w:r>
    </w:p>
    <w:p w:rsidR="002358FA" w:rsidRDefault="002358FA" w:rsidP="00B862FB">
      <w:pPr>
        <w:spacing w:after="200" w:line="276" w:lineRule="auto"/>
      </w:pPr>
      <w:r>
        <w:t xml:space="preserve">After evaluating the current </w:t>
      </w:r>
      <w:r w:rsidR="00C63DE6">
        <w:t>data,</w:t>
      </w:r>
      <w:r>
        <w:t xml:space="preserve"> we can conclude:</w:t>
      </w:r>
    </w:p>
    <w:p w:rsidR="00815C28" w:rsidRDefault="00815C28" w:rsidP="00815C28">
      <w:pPr>
        <w:pStyle w:val="ListParagraph"/>
        <w:numPr>
          <w:ilvl w:val="0"/>
          <w:numId w:val="8"/>
        </w:numPr>
        <w:spacing w:after="200" w:line="276" w:lineRule="auto"/>
      </w:pPr>
      <w:r>
        <w:t>The rise in temporary workers has filled up apartments, hotels/motels, RV camps, which pushes rent and housing prices higher.</w:t>
      </w:r>
    </w:p>
    <w:p w:rsidR="00815C28" w:rsidRDefault="00815C28" w:rsidP="00815C28">
      <w:pPr>
        <w:pStyle w:val="ListParagraph"/>
        <w:numPr>
          <w:ilvl w:val="0"/>
          <w:numId w:val="8"/>
        </w:numPr>
        <w:spacing w:after="200" w:line="276" w:lineRule="auto"/>
      </w:pPr>
      <w:r>
        <w:t xml:space="preserve">Employers are having difficult filling jobs due to the lack of housing available and its high costs. </w:t>
      </w:r>
    </w:p>
    <w:p w:rsidR="002358FA" w:rsidRDefault="002358FA" w:rsidP="002358FA">
      <w:pPr>
        <w:pStyle w:val="ListParagraph"/>
        <w:numPr>
          <w:ilvl w:val="0"/>
          <w:numId w:val="8"/>
        </w:numPr>
        <w:spacing w:after="200" w:line="276" w:lineRule="auto"/>
      </w:pPr>
      <w:r>
        <w:t xml:space="preserve">Despite the addition of 2,116 housing units since 2010, rental vacancy rates are at 90-100% occupied. </w:t>
      </w:r>
    </w:p>
    <w:p w:rsidR="002358FA" w:rsidRDefault="002358FA" w:rsidP="002358FA">
      <w:pPr>
        <w:pStyle w:val="ListParagraph"/>
        <w:numPr>
          <w:ilvl w:val="0"/>
          <w:numId w:val="8"/>
        </w:numPr>
        <w:spacing w:after="200" w:line="276" w:lineRule="auto"/>
      </w:pPr>
      <w:r>
        <w:t>Average rents for more than 7</w:t>
      </w:r>
      <w:r w:rsidR="00C63DE6">
        <w:t>5</w:t>
      </w:r>
      <w:r>
        <w:t xml:space="preserve"> percent of t</w:t>
      </w:r>
      <w:r w:rsidR="00815C28">
        <w:t>he apartment units in Carlsbad in 2</w:t>
      </w:r>
      <w:r>
        <w:t xml:space="preserve">017 were </w:t>
      </w:r>
      <w:r w:rsidR="00C63DE6">
        <w:t xml:space="preserve">$900 for a one-bedroom, $1,172 for a two-bedroom, and $1,329 for a three bedroom. </w:t>
      </w:r>
      <w:r w:rsidR="0085111C">
        <w:t xml:space="preserve">These are unaffordable for households with income below 80 percent of AMI (area median income) without a subsidy. </w:t>
      </w:r>
    </w:p>
    <w:p w:rsidR="00522305" w:rsidRDefault="00691809" w:rsidP="00522305">
      <w:pPr>
        <w:spacing w:after="200" w:line="276" w:lineRule="auto"/>
      </w:pPr>
      <w:r>
        <w:t xml:space="preserve">While </w:t>
      </w:r>
      <w:r w:rsidR="00815C28">
        <w:t xml:space="preserve">residential </w:t>
      </w:r>
      <w:r>
        <w:t>developmen</w:t>
      </w:r>
      <w:r w:rsidR="00815C28">
        <w:t>t has been ongoing in Carlsbad</w:t>
      </w:r>
      <w:r>
        <w:t xml:space="preserve">, it is likely that as the prosperity in the oil and gas industry continues, we will continue to need more housing, possibly even more than what the housing studies </w:t>
      </w:r>
      <w:r w:rsidRPr="00F63300">
        <w:t xml:space="preserve">suggested. At the </w:t>
      </w:r>
      <w:r w:rsidRPr="00F63300">
        <w:rPr>
          <w:b/>
        </w:rPr>
        <w:t>minimum</w:t>
      </w:r>
      <w:r w:rsidRPr="00F63300">
        <w:t xml:space="preserve">, we need to recruit 1,000 additional units of housing of various types per year so long as the economy remains strong. </w:t>
      </w:r>
      <w:r w:rsidR="00341D2D" w:rsidRPr="00F63300">
        <w:t xml:space="preserve">The Carlsbad Department of Development </w:t>
      </w:r>
      <w:r w:rsidR="0071073F" w:rsidRPr="00F63300">
        <w:t xml:space="preserve">must </w:t>
      </w:r>
      <w:r w:rsidR="00FC7918" w:rsidRPr="00F63300">
        <w:t>continue to concentrate on facilitating development in a range of housing choices that meet the diverse need</w:t>
      </w:r>
      <w:r w:rsidR="0071073F" w:rsidRPr="00F63300">
        <w:t>s</w:t>
      </w:r>
      <w:r w:rsidR="00FC7918" w:rsidRPr="00F63300">
        <w:t xml:space="preserve"> of </w:t>
      </w:r>
      <w:r w:rsidR="0071073F" w:rsidRPr="00F63300">
        <w:t xml:space="preserve">our community’s </w:t>
      </w:r>
      <w:r w:rsidR="00FC7918" w:rsidRPr="00F63300">
        <w:t>citizens</w:t>
      </w:r>
      <w:r w:rsidR="0071073F" w:rsidRPr="00F63300">
        <w:t xml:space="preserve"> and businesses</w:t>
      </w:r>
      <w:r w:rsidR="00FC7918" w:rsidRPr="00F63300">
        <w:t xml:space="preserve">. </w:t>
      </w:r>
      <w:r w:rsidR="002358FA" w:rsidRPr="00F63300">
        <w:t>Many</w:t>
      </w:r>
      <w:r w:rsidR="003359EA" w:rsidRPr="00F63300">
        <w:t xml:space="preserve"> have been wary about overbuilding</w:t>
      </w:r>
      <w:r w:rsidR="0018742E" w:rsidRPr="00F63300">
        <w:t xml:space="preserve"> due to fear </w:t>
      </w:r>
      <w:r w:rsidR="00F75B1E" w:rsidRPr="00F63300">
        <w:t>an economic downturn affecting our extractive industries</w:t>
      </w:r>
      <w:r w:rsidR="003359EA" w:rsidRPr="00F63300">
        <w:t xml:space="preserve">, but while no one can predict the future, </w:t>
      </w:r>
      <w:r w:rsidR="00F75B1E" w:rsidRPr="00F63300">
        <w:t xml:space="preserve">given the ever-increasing reserves they are finding in the Delaware Basin, </w:t>
      </w:r>
      <w:r w:rsidR="003359EA" w:rsidRPr="00F63300">
        <w:t>oil and gas companies expect the</w:t>
      </w:r>
      <w:r w:rsidR="00F75B1E" w:rsidRPr="00F63300">
        <w:t>ir</w:t>
      </w:r>
      <w:r w:rsidR="003359EA" w:rsidRPr="00F63300">
        <w:t xml:space="preserve"> </w:t>
      </w:r>
      <w:r w:rsidR="00F75B1E" w:rsidRPr="00F63300">
        <w:t xml:space="preserve">activity here </w:t>
      </w:r>
      <w:r w:rsidR="003359EA" w:rsidRPr="00F63300">
        <w:t xml:space="preserve">to last up to 25 years. </w:t>
      </w:r>
    </w:p>
    <w:p w:rsidR="00815C28" w:rsidRPr="00CC79B4" w:rsidRDefault="00815C28" w:rsidP="00815C28">
      <w:pPr>
        <w:spacing w:after="0" w:line="276" w:lineRule="auto"/>
      </w:pPr>
      <w:r>
        <w:rPr>
          <w:noProof/>
        </w:rPr>
        <mc:AlternateContent>
          <mc:Choice Requires="wps">
            <w:drawing>
              <wp:anchor distT="0" distB="0" distL="114300" distR="114300" simplePos="0" relativeHeight="251659264" behindDoc="0" locked="0" layoutInCell="1" allowOverlap="1" wp14:anchorId="130B3E5E" wp14:editId="316450F9">
                <wp:simplePos x="0" y="0"/>
                <wp:positionH relativeFrom="column">
                  <wp:posOffset>1960418</wp:posOffset>
                </wp:positionH>
                <wp:positionV relativeFrom="paragraph">
                  <wp:posOffset>55418</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A421F" w:rsidRDefault="008A421F" w:rsidP="00815C28">
                            <w:pPr>
                              <w:spacing w:after="0" w:line="276" w:lineRule="auto"/>
                              <w:jc w:val="center"/>
                            </w:pPr>
                            <w:r>
                              <w:t>For questions or comments:</w:t>
                            </w:r>
                          </w:p>
                          <w:p w:rsidR="008A421F" w:rsidRDefault="008A421F" w:rsidP="00815C28">
                            <w:pPr>
                              <w:spacing w:after="0" w:line="276" w:lineRule="auto"/>
                              <w:jc w:val="center"/>
                            </w:pPr>
                            <w:r>
                              <w:t>Shannon Carr</w:t>
                            </w:r>
                          </w:p>
                          <w:p w:rsidR="008A421F" w:rsidRDefault="008A421F" w:rsidP="00815C28">
                            <w:pPr>
                              <w:spacing w:after="0" w:line="276" w:lineRule="auto"/>
                              <w:jc w:val="center"/>
                            </w:pPr>
                            <w:r>
                              <w:t>Local Development Coordinator</w:t>
                            </w:r>
                          </w:p>
                          <w:p w:rsidR="008A421F" w:rsidRDefault="008A421F" w:rsidP="00815C28">
                            <w:pPr>
                              <w:spacing w:after="0" w:line="276" w:lineRule="auto"/>
                              <w:jc w:val="center"/>
                            </w:pPr>
                            <w:r>
                              <w:t>Carlsbad Department of Development</w:t>
                            </w:r>
                          </w:p>
                          <w:p w:rsidR="008A421F" w:rsidRDefault="008A421F" w:rsidP="00815C28">
                            <w:pPr>
                              <w:spacing w:after="0" w:line="276" w:lineRule="auto"/>
                              <w:jc w:val="center"/>
                            </w:pPr>
                            <w:hyperlink r:id="rId16" w:history="1">
                              <w:r w:rsidRPr="00BF47C7">
                                <w:rPr>
                                  <w:rStyle w:val="Hyperlink"/>
                                </w:rPr>
                                <w:t>Shannon.carr@developcarlsbad.org</w:t>
                              </w:r>
                            </w:hyperlink>
                          </w:p>
                          <w:p w:rsidR="008A421F" w:rsidRPr="00060771" w:rsidRDefault="008A421F" w:rsidP="00F63300">
                            <w:pPr>
                              <w:spacing w:after="0" w:line="276" w:lineRule="auto"/>
                              <w:jc w:val="center"/>
                            </w:pPr>
                            <w:r>
                              <w:t>(575) 887-6252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0B3E5E" id="_x0000_t202" coordsize="21600,21600" o:spt="202" path="m,l,21600r21600,l21600,xe">
                <v:stroke joinstyle="miter"/>
                <v:path gradientshapeok="t" o:connecttype="rect"/>
              </v:shapetype>
              <v:shape id="Text Box 1" o:spid="_x0000_s1026" type="#_x0000_t202" style="position:absolute;margin-left:154.35pt;margin-top:4.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J6Bhn3cAAAA&#10;CQEAAA8AAABkcnMvZG93bnJldi54bWxMj81Ow0AMhO9IvMPKSNzohqL+hTgVKuLGobQV523WJIGs&#10;N8pu24SnxzmVk8ea0fhztu5do87UhdozwuMkAUVceFtziXDYvz0sQYVo2JrGMyEMFGCd395kJrX+&#10;wh903sVSSQmH1CBUMbap1qGoyJkw8S2xeF++cybK2pXaduYi5a7R0ySZa2dqlguVaWlTUfGzOzkE&#10;O8w2g21+7eH7c7HaervfvodXxPu7/uUZVKQ+XsMw4gs65MJ09Ce2QTUIT8lyIVGEcYg/W81FHBGm&#10;o9B5pv9/kP8BAAD//wMAUEsBAi0AFAAGAAgAAAAhALaDOJL+AAAA4QEAABMAAAAAAAAAAAAAAAAA&#10;AAAAAFtDb250ZW50X1R5cGVzXS54bWxQSwECLQAUAAYACAAAACEAOP0h/9YAAACUAQAACwAAAAAA&#10;AAAAAAAAAAAvAQAAX3JlbHMvLnJlbHNQSwECLQAUAAYACAAAACEAC0BpID0CAACGBAAADgAAAAAA&#10;AAAAAAAAAAAuAgAAZHJzL2Uyb0RvYy54bWxQSwECLQAUAAYACAAAACEAnoGGfdwAAAAJAQAADwAA&#10;AAAAAAAAAAAAAACXBAAAZHJzL2Rvd25yZXYueG1sUEsFBgAAAAAEAAQA8wAAAKAFAAAAAA==&#10;" filled="f" strokeweight=".5pt">
                <v:textbox style="mso-fit-shape-to-text:t">
                  <w:txbxContent>
                    <w:p w:rsidR="008A421F" w:rsidRDefault="008A421F" w:rsidP="00815C28">
                      <w:pPr>
                        <w:spacing w:after="0" w:line="276" w:lineRule="auto"/>
                        <w:jc w:val="center"/>
                      </w:pPr>
                      <w:r>
                        <w:t>For questions or comments:</w:t>
                      </w:r>
                    </w:p>
                    <w:p w:rsidR="008A421F" w:rsidRDefault="008A421F" w:rsidP="00815C28">
                      <w:pPr>
                        <w:spacing w:after="0" w:line="276" w:lineRule="auto"/>
                        <w:jc w:val="center"/>
                      </w:pPr>
                      <w:r>
                        <w:t>Shannon Carr</w:t>
                      </w:r>
                    </w:p>
                    <w:p w:rsidR="008A421F" w:rsidRDefault="008A421F" w:rsidP="00815C28">
                      <w:pPr>
                        <w:spacing w:after="0" w:line="276" w:lineRule="auto"/>
                        <w:jc w:val="center"/>
                      </w:pPr>
                      <w:r>
                        <w:t>Local Development Coordinator</w:t>
                      </w:r>
                    </w:p>
                    <w:p w:rsidR="008A421F" w:rsidRDefault="008A421F" w:rsidP="00815C28">
                      <w:pPr>
                        <w:spacing w:after="0" w:line="276" w:lineRule="auto"/>
                        <w:jc w:val="center"/>
                      </w:pPr>
                      <w:r>
                        <w:t>Carlsbad Department of Development</w:t>
                      </w:r>
                    </w:p>
                    <w:p w:rsidR="008A421F" w:rsidRDefault="008A421F" w:rsidP="00815C28">
                      <w:pPr>
                        <w:spacing w:after="0" w:line="276" w:lineRule="auto"/>
                        <w:jc w:val="center"/>
                      </w:pPr>
                      <w:hyperlink r:id="rId17" w:history="1">
                        <w:r w:rsidRPr="00BF47C7">
                          <w:rPr>
                            <w:rStyle w:val="Hyperlink"/>
                          </w:rPr>
                          <w:t>Shannon.carr@developcarlsbad.org</w:t>
                        </w:r>
                      </w:hyperlink>
                    </w:p>
                    <w:p w:rsidR="008A421F" w:rsidRPr="00060771" w:rsidRDefault="008A421F" w:rsidP="00F63300">
                      <w:pPr>
                        <w:spacing w:after="0" w:line="276" w:lineRule="auto"/>
                        <w:jc w:val="center"/>
                      </w:pPr>
                      <w:r>
                        <w:t>(575) 887-6252</w:t>
                      </w:r>
                    </w:p>
                  </w:txbxContent>
                </v:textbox>
                <w10:wrap type="square"/>
              </v:shape>
            </w:pict>
          </mc:Fallback>
        </mc:AlternateContent>
      </w:r>
    </w:p>
    <w:sectPr w:rsidR="00815C28" w:rsidRPr="00CC79B4" w:rsidSect="009B2094">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C0" w:rsidRDefault="00F939C0" w:rsidP="00815C28">
      <w:pPr>
        <w:spacing w:after="0" w:line="240" w:lineRule="auto"/>
      </w:pPr>
      <w:r>
        <w:separator/>
      </w:r>
    </w:p>
  </w:endnote>
  <w:endnote w:type="continuationSeparator" w:id="0">
    <w:p w:rsidR="00F939C0" w:rsidRDefault="00F939C0" w:rsidP="0081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1F" w:rsidRDefault="008A4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29820"/>
      <w:docPartObj>
        <w:docPartGallery w:val="Page Numbers (Bottom of Page)"/>
        <w:docPartUnique/>
      </w:docPartObj>
    </w:sdtPr>
    <w:sdtEndPr>
      <w:rPr>
        <w:color w:val="7F7F7F" w:themeColor="background1" w:themeShade="7F"/>
        <w:spacing w:val="60"/>
      </w:rPr>
    </w:sdtEndPr>
    <w:sdtContent>
      <w:p w:rsidR="008A421F" w:rsidRDefault="008A42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1E6F">
          <w:rPr>
            <w:noProof/>
          </w:rPr>
          <w:t>2</w:t>
        </w:r>
        <w:r>
          <w:rPr>
            <w:noProof/>
          </w:rPr>
          <w:fldChar w:fldCharType="end"/>
        </w:r>
        <w:r>
          <w:t xml:space="preserve"> | </w:t>
        </w:r>
        <w:r>
          <w:rPr>
            <w:color w:val="7F7F7F" w:themeColor="background1" w:themeShade="7F"/>
            <w:spacing w:val="60"/>
          </w:rPr>
          <w:t>Page</w:t>
        </w:r>
      </w:p>
    </w:sdtContent>
  </w:sdt>
  <w:p w:rsidR="008A421F" w:rsidRDefault="008A421F" w:rsidP="00677F8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1F" w:rsidRDefault="008A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C0" w:rsidRDefault="00F939C0" w:rsidP="00815C28">
      <w:pPr>
        <w:spacing w:after="0" w:line="240" w:lineRule="auto"/>
      </w:pPr>
      <w:r>
        <w:separator/>
      </w:r>
    </w:p>
  </w:footnote>
  <w:footnote w:type="continuationSeparator" w:id="0">
    <w:p w:rsidR="00F939C0" w:rsidRDefault="00F939C0" w:rsidP="00815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1F" w:rsidRDefault="008A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1F" w:rsidRDefault="008A421F">
    <w:pPr>
      <w:pStyle w:val="Header"/>
    </w:pPr>
    <w:bookmarkStart w:id="0" w:name="_GoBack"/>
    <w:r>
      <w:rPr>
        <w:noProof/>
      </w:rPr>
      <w:drawing>
        <wp:inline distT="0" distB="0" distL="0" distR="0">
          <wp:extent cx="2690398" cy="7550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OD CLE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1707" cy="761054"/>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1F" w:rsidRDefault="008A4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DB9"/>
    <w:multiLevelType w:val="multilevel"/>
    <w:tmpl w:val="B99A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6676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C58AC"/>
    <w:multiLevelType w:val="hybridMultilevel"/>
    <w:tmpl w:val="FC0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7363"/>
    <w:multiLevelType w:val="multilevel"/>
    <w:tmpl w:val="DB3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D3FCB"/>
    <w:multiLevelType w:val="hybridMultilevel"/>
    <w:tmpl w:val="4926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213C67"/>
    <w:multiLevelType w:val="hybridMultilevel"/>
    <w:tmpl w:val="84D0C6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B5CAE"/>
    <w:multiLevelType w:val="multilevel"/>
    <w:tmpl w:val="6D7A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7440C"/>
    <w:multiLevelType w:val="hybridMultilevel"/>
    <w:tmpl w:val="2242808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4103"/>
    <w:multiLevelType w:val="hybridMultilevel"/>
    <w:tmpl w:val="BFB4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CD"/>
    <w:rsid w:val="00027207"/>
    <w:rsid w:val="000667D8"/>
    <w:rsid w:val="00085117"/>
    <w:rsid w:val="000971BD"/>
    <w:rsid w:val="000B1E0B"/>
    <w:rsid w:val="000F050B"/>
    <w:rsid w:val="0010624C"/>
    <w:rsid w:val="00125DA5"/>
    <w:rsid w:val="0015529D"/>
    <w:rsid w:val="0015784F"/>
    <w:rsid w:val="00172DFB"/>
    <w:rsid w:val="0018742E"/>
    <w:rsid w:val="001B64E1"/>
    <w:rsid w:val="002111CD"/>
    <w:rsid w:val="00221E6F"/>
    <w:rsid w:val="00227C5D"/>
    <w:rsid w:val="002358FA"/>
    <w:rsid w:val="00255C31"/>
    <w:rsid w:val="002B08A4"/>
    <w:rsid w:val="002D1371"/>
    <w:rsid w:val="002E0410"/>
    <w:rsid w:val="002F599C"/>
    <w:rsid w:val="003359EA"/>
    <w:rsid w:val="003401DC"/>
    <w:rsid w:val="00341D2D"/>
    <w:rsid w:val="0036503E"/>
    <w:rsid w:val="00367BF2"/>
    <w:rsid w:val="00396224"/>
    <w:rsid w:val="003D1D5E"/>
    <w:rsid w:val="004277B1"/>
    <w:rsid w:val="00486DDC"/>
    <w:rsid w:val="00491A44"/>
    <w:rsid w:val="0049608B"/>
    <w:rsid w:val="004B6181"/>
    <w:rsid w:val="00522305"/>
    <w:rsid w:val="005435B5"/>
    <w:rsid w:val="00547F2E"/>
    <w:rsid w:val="00565A01"/>
    <w:rsid w:val="005851CB"/>
    <w:rsid w:val="005D210E"/>
    <w:rsid w:val="005D74DC"/>
    <w:rsid w:val="00677F83"/>
    <w:rsid w:val="006839A6"/>
    <w:rsid w:val="00684F7F"/>
    <w:rsid w:val="00691809"/>
    <w:rsid w:val="006B5E96"/>
    <w:rsid w:val="0071073F"/>
    <w:rsid w:val="007924D3"/>
    <w:rsid w:val="00792FE2"/>
    <w:rsid w:val="00815C28"/>
    <w:rsid w:val="008370FF"/>
    <w:rsid w:val="0085111C"/>
    <w:rsid w:val="00851C03"/>
    <w:rsid w:val="008A421F"/>
    <w:rsid w:val="008B22C3"/>
    <w:rsid w:val="008F2525"/>
    <w:rsid w:val="00911EEE"/>
    <w:rsid w:val="009B2094"/>
    <w:rsid w:val="00A11B64"/>
    <w:rsid w:val="00A223CA"/>
    <w:rsid w:val="00A42474"/>
    <w:rsid w:val="00A43B3C"/>
    <w:rsid w:val="00A723A1"/>
    <w:rsid w:val="00AA1609"/>
    <w:rsid w:val="00AD46C4"/>
    <w:rsid w:val="00B04FAE"/>
    <w:rsid w:val="00B862FB"/>
    <w:rsid w:val="00B87BA0"/>
    <w:rsid w:val="00BA1AF0"/>
    <w:rsid w:val="00BE1186"/>
    <w:rsid w:val="00BE292C"/>
    <w:rsid w:val="00C05641"/>
    <w:rsid w:val="00C1388B"/>
    <w:rsid w:val="00C63DE6"/>
    <w:rsid w:val="00CC79B4"/>
    <w:rsid w:val="00CD5BDA"/>
    <w:rsid w:val="00D01EF8"/>
    <w:rsid w:val="00D0270A"/>
    <w:rsid w:val="00D15232"/>
    <w:rsid w:val="00D60AB9"/>
    <w:rsid w:val="00E8204E"/>
    <w:rsid w:val="00EE4332"/>
    <w:rsid w:val="00F10DD8"/>
    <w:rsid w:val="00F32991"/>
    <w:rsid w:val="00F41C44"/>
    <w:rsid w:val="00F41F9D"/>
    <w:rsid w:val="00F63300"/>
    <w:rsid w:val="00F75B1E"/>
    <w:rsid w:val="00F939C0"/>
    <w:rsid w:val="00F96BD9"/>
    <w:rsid w:val="00FA0DAF"/>
    <w:rsid w:val="00FC7918"/>
    <w:rsid w:val="00FD1330"/>
    <w:rsid w:val="00FD4426"/>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A3520-185E-4A6D-81D4-90CDF39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A0"/>
  </w:style>
  <w:style w:type="paragraph" w:styleId="Heading1">
    <w:name w:val="heading 1"/>
    <w:basedOn w:val="Normal"/>
    <w:next w:val="Normal"/>
    <w:link w:val="Heading1Char"/>
    <w:uiPriority w:val="9"/>
    <w:qFormat/>
    <w:rsid w:val="00B87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7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7B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7B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7B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7BA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7BA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7B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7B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D60A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B5E96"/>
    <w:pPr>
      <w:ind w:left="720"/>
      <w:contextualSpacing/>
    </w:pPr>
  </w:style>
  <w:style w:type="paragraph" w:styleId="BalloonText">
    <w:name w:val="Balloon Text"/>
    <w:basedOn w:val="Normal"/>
    <w:link w:val="BalloonTextChar"/>
    <w:uiPriority w:val="99"/>
    <w:semiHidden/>
    <w:unhideWhenUsed/>
    <w:rsid w:val="009B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94"/>
    <w:rPr>
      <w:rFonts w:ascii="Segoe UI" w:hAnsi="Segoe UI" w:cs="Segoe UI"/>
      <w:sz w:val="18"/>
      <w:szCs w:val="18"/>
    </w:rPr>
  </w:style>
  <w:style w:type="paragraph" w:styleId="Title">
    <w:name w:val="Title"/>
    <w:basedOn w:val="Normal"/>
    <w:next w:val="Normal"/>
    <w:link w:val="TitleChar"/>
    <w:uiPriority w:val="10"/>
    <w:qFormat/>
    <w:rsid w:val="00B87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BA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2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6839A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B87B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87B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87B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7B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7B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7B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7B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7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7BA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87BA0"/>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87B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BA0"/>
    <w:rPr>
      <w:rFonts w:eastAsiaTheme="minorEastAsia"/>
      <w:color w:val="5A5A5A" w:themeColor="text1" w:themeTint="A5"/>
      <w:spacing w:val="15"/>
    </w:rPr>
  </w:style>
  <w:style w:type="character" w:styleId="Strong">
    <w:name w:val="Strong"/>
    <w:basedOn w:val="DefaultParagraphFont"/>
    <w:uiPriority w:val="22"/>
    <w:qFormat/>
    <w:rsid w:val="00B87BA0"/>
    <w:rPr>
      <w:b/>
      <w:bCs/>
    </w:rPr>
  </w:style>
  <w:style w:type="character" w:styleId="Emphasis">
    <w:name w:val="Emphasis"/>
    <w:basedOn w:val="DefaultParagraphFont"/>
    <w:uiPriority w:val="20"/>
    <w:qFormat/>
    <w:rsid w:val="00B87BA0"/>
    <w:rPr>
      <w:i/>
      <w:iCs/>
    </w:rPr>
  </w:style>
  <w:style w:type="paragraph" w:styleId="NoSpacing">
    <w:name w:val="No Spacing"/>
    <w:uiPriority w:val="1"/>
    <w:qFormat/>
    <w:rsid w:val="00B87BA0"/>
    <w:pPr>
      <w:spacing w:after="0" w:line="240" w:lineRule="auto"/>
    </w:pPr>
  </w:style>
  <w:style w:type="paragraph" w:styleId="Quote">
    <w:name w:val="Quote"/>
    <w:basedOn w:val="Normal"/>
    <w:next w:val="Normal"/>
    <w:link w:val="QuoteChar"/>
    <w:uiPriority w:val="29"/>
    <w:qFormat/>
    <w:rsid w:val="00B87B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7BA0"/>
    <w:rPr>
      <w:i/>
      <w:iCs/>
      <w:color w:val="404040" w:themeColor="text1" w:themeTint="BF"/>
    </w:rPr>
  </w:style>
  <w:style w:type="paragraph" w:styleId="IntenseQuote">
    <w:name w:val="Intense Quote"/>
    <w:basedOn w:val="Normal"/>
    <w:next w:val="Normal"/>
    <w:link w:val="IntenseQuoteChar"/>
    <w:uiPriority w:val="30"/>
    <w:qFormat/>
    <w:rsid w:val="00B87B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7BA0"/>
    <w:rPr>
      <w:i/>
      <w:iCs/>
      <w:color w:val="5B9BD5" w:themeColor="accent1"/>
    </w:rPr>
  </w:style>
  <w:style w:type="character" w:styleId="SubtleEmphasis">
    <w:name w:val="Subtle Emphasis"/>
    <w:basedOn w:val="DefaultParagraphFont"/>
    <w:uiPriority w:val="19"/>
    <w:qFormat/>
    <w:rsid w:val="00B87BA0"/>
    <w:rPr>
      <w:i/>
      <w:iCs/>
      <w:color w:val="404040" w:themeColor="text1" w:themeTint="BF"/>
    </w:rPr>
  </w:style>
  <w:style w:type="character" w:styleId="IntenseEmphasis">
    <w:name w:val="Intense Emphasis"/>
    <w:basedOn w:val="DefaultParagraphFont"/>
    <w:uiPriority w:val="21"/>
    <w:qFormat/>
    <w:rsid w:val="00B87BA0"/>
    <w:rPr>
      <w:i/>
      <w:iCs/>
      <w:color w:val="5B9BD5" w:themeColor="accent1"/>
    </w:rPr>
  </w:style>
  <w:style w:type="character" w:styleId="SubtleReference">
    <w:name w:val="Subtle Reference"/>
    <w:basedOn w:val="DefaultParagraphFont"/>
    <w:uiPriority w:val="31"/>
    <w:qFormat/>
    <w:rsid w:val="00B87BA0"/>
    <w:rPr>
      <w:smallCaps/>
      <w:color w:val="5A5A5A" w:themeColor="text1" w:themeTint="A5"/>
    </w:rPr>
  </w:style>
  <w:style w:type="character" w:styleId="IntenseReference">
    <w:name w:val="Intense Reference"/>
    <w:basedOn w:val="DefaultParagraphFont"/>
    <w:uiPriority w:val="32"/>
    <w:qFormat/>
    <w:rsid w:val="00B87BA0"/>
    <w:rPr>
      <w:b/>
      <w:bCs/>
      <w:smallCaps/>
      <w:color w:val="5B9BD5" w:themeColor="accent1"/>
      <w:spacing w:val="5"/>
    </w:rPr>
  </w:style>
  <w:style w:type="character" w:styleId="BookTitle">
    <w:name w:val="Book Title"/>
    <w:basedOn w:val="DefaultParagraphFont"/>
    <w:uiPriority w:val="33"/>
    <w:qFormat/>
    <w:rsid w:val="00B87BA0"/>
    <w:rPr>
      <w:b/>
      <w:bCs/>
      <w:i/>
      <w:iCs/>
      <w:spacing w:val="5"/>
    </w:rPr>
  </w:style>
  <w:style w:type="paragraph" w:styleId="TOCHeading">
    <w:name w:val="TOC Heading"/>
    <w:basedOn w:val="Heading1"/>
    <w:next w:val="Normal"/>
    <w:uiPriority w:val="39"/>
    <w:semiHidden/>
    <w:unhideWhenUsed/>
    <w:qFormat/>
    <w:rsid w:val="00B87BA0"/>
    <w:pPr>
      <w:outlineLvl w:val="9"/>
    </w:pPr>
  </w:style>
  <w:style w:type="character" w:styleId="Hyperlink">
    <w:name w:val="Hyperlink"/>
    <w:basedOn w:val="DefaultParagraphFont"/>
    <w:uiPriority w:val="99"/>
    <w:unhideWhenUsed/>
    <w:rsid w:val="00815C28"/>
    <w:rPr>
      <w:color w:val="0563C1" w:themeColor="hyperlink"/>
      <w:u w:val="single"/>
    </w:rPr>
  </w:style>
  <w:style w:type="paragraph" w:styleId="Header">
    <w:name w:val="header"/>
    <w:basedOn w:val="Normal"/>
    <w:link w:val="HeaderChar"/>
    <w:uiPriority w:val="99"/>
    <w:unhideWhenUsed/>
    <w:rsid w:val="0081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28"/>
  </w:style>
  <w:style w:type="paragraph" w:styleId="Footer">
    <w:name w:val="footer"/>
    <w:basedOn w:val="Normal"/>
    <w:link w:val="FooterChar"/>
    <w:uiPriority w:val="99"/>
    <w:unhideWhenUsed/>
    <w:rsid w:val="0081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222">
      <w:bodyDiv w:val="1"/>
      <w:marLeft w:val="0"/>
      <w:marRight w:val="0"/>
      <w:marTop w:val="0"/>
      <w:marBottom w:val="0"/>
      <w:divBdr>
        <w:top w:val="none" w:sz="0" w:space="0" w:color="auto"/>
        <w:left w:val="none" w:sz="0" w:space="0" w:color="auto"/>
        <w:bottom w:val="none" w:sz="0" w:space="0" w:color="auto"/>
        <w:right w:val="none" w:sz="0" w:space="0" w:color="auto"/>
      </w:divBdr>
    </w:div>
    <w:div w:id="607929055">
      <w:bodyDiv w:val="1"/>
      <w:marLeft w:val="0"/>
      <w:marRight w:val="0"/>
      <w:marTop w:val="0"/>
      <w:marBottom w:val="0"/>
      <w:divBdr>
        <w:top w:val="none" w:sz="0" w:space="0" w:color="auto"/>
        <w:left w:val="none" w:sz="0" w:space="0" w:color="auto"/>
        <w:bottom w:val="none" w:sz="0" w:space="0" w:color="auto"/>
        <w:right w:val="none" w:sz="0" w:space="0" w:color="auto"/>
      </w:divBdr>
    </w:div>
    <w:div w:id="609244983">
      <w:bodyDiv w:val="1"/>
      <w:marLeft w:val="0"/>
      <w:marRight w:val="0"/>
      <w:marTop w:val="0"/>
      <w:marBottom w:val="0"/>
      <w:divBdr>
        <w:top w:val="none" w:sz="0" w:space="0" w:color="auto"/>
        <w:left w:val="none" w:sz="0" w:space="0" w:color="auto"/>
        <w:bottom w:val="none" w:sz="0" w:space="0" w:color="auto"/>
        <w:right w:val="none" w:sz="0" w:space="0" w:color="auto"/>
      </w:divBdr>
    </w:div>
    <w:div w:id="1112433005">
      <w:bodyDiv w:val="1"/>
      <w:marLeft w:val="0"/>
      <w:marRight w:val="0"/>
      <w:marTop w:val="0"/>
      <w:marBottom w:val="0"/>
      <w:divBdr>
        <w:top w:val="none" w:sz="0" w:space="0" w:color="auto"/>
        <w:left w:val="none" w:sz="0" w:space="0" w:color="auto"/>
        <w:bottom w:val="none" w:sz="0" w:space="0" w:color="auto"/>
        <w:right w:val="none" w:sz="0" w:space="0" w:color="auto"/>
      </w:divBdr>
    </w:div>
    <w:div w:id="1159928140">
      <w:bodyDiv w:val="1"/>
      <w:marLeft w:val="0"/>
      <w:marRight w:val="0"/>
      <w:marTop w:val="0"/>
      <w:marBottom w:val="0"/>
      <w:divBdr>
        <w:top w:val="none" w:sz="0" w:space="0" w:color="auto"/>
        <w:left w:val="none" w:sz="0" w:space="0" w:color="auto"/>
        <w:bottom w:val="none" w:sz="0" w:space="0" w:color="auto"/>
        <w:right w:val="none" w:sz="0" w:space="0" w:color="auto"/>
      </w:divBdr>
    </w:div>
    <w:div w:id="1183519124">
      <w:bodyDiv w:val="1"/>
      <w:marLeft w:val="0"/>
      <w:marRight w:val="0"/>
      <w:marTop w:val="0"/>
      <w:marBottom w:val="0"/>
      <w:divBdr>
        <w:top w:val="none" w:sz="0" w:space="0" w:color="auto"/>
        <w:left w:val="none" w:sz="0" w:space="0" w:color="auto"/>
        <w:bottom w:val="none" w:sz="0" w:space="0" w:color="auto"/>
        <w:right w:val="none" w:sz="0" w:space="0" w:color="auto"/>
      </w:divBdr>
    </w:div>
    <w:div w:id="1271821229">
      <w:bodyDiv w:val="1"/>
      <w:marLeft w:val="0"/>
      <w:marRight w:val="0"/>
      <w:marTop w:val="0"/>
      <w:marBottom w:val="0"/>
      <w:divBdr>
        <w:top w:val="none" w:sz="0" w:space="0" w:color="auto"/>
        <w:left w:val="none" w:sz="0" w:space="0" w:color="auto"/>
        <w:bottom w:val="none" w:sz="0" w:space="0" w:color="auto"/>
        <w:right w:val="none" w:sz="0" w:space="0" w:color="auto"/>
      </w:divBdr>
    </w:div>
    <w:div w:id="1471902224">
      <w:bodyDiv w:val="1"/>
      <w:marLeft w:val="0"/>
      <w:marRight w:val="0"/>
      <w:marTop w:val="0"/>
      <w:marBottom w:val="0"/>
      <w:divBdr>
        <w:top w:val="none" w:sz="0" w:space="0" w:color="auto"/>
        <w:left w:val="none" w:sz="0" w:space="0" w:color="auto"/>
        <w:bottom w:val="none" w:sz="0" w:space="0" w:color="auto"/>
        <w:right w:val="none" w:sz="0" w:space="0" w:color="auto"/>
      </w:divBdr>
    </w:div>
    <w:div w:id="18056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Shannon.carr@developcarlsba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nnon.carr@developcarlsba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nnon\AppData\Roaming\Microsoft\Excel\2017%20Housing%20Survey%20Data%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nnon\Documents\Housing\2017%20Housing%20Surve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annon\AppData\Roaming\Microsoft\Excel\2017%20Housing%20Survey%20Data%20(version%201).xlsb"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How many additional employees do you anticipate hiring over the next five years?</a:t>
            </a:r>
            <a:endParaRPr lang="en-US"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rgbClr val="FF0066"/>
              </a:solidFill>
              <a:ln>
                <a:noFill/>
              </a:ln>
              <a:effectLst/>
            </c:spPr>
          </c:dPt>
          <c:dPt>
            <c:idx val="2"/>
            <c:invertIfNegative val="0"/>
            <c:bubble3D val="0"/>
            <c:spPr>
              <a:solidFill>
                <a:schemeClr val="accent4">
                  <a:lumMod val="75000"/>
                </a:schemeClr>
              </a:solidFill>
              <a:ln>
                <a:noFill/>
              </a:ln>
              <a:effectLst/>
            </c:spPr>
          </c:dPt>
          <c:dPt>
            <c:idx val="4"/>
            <c:invertIfNegative val="0"/>
            <c:bubble3D val="0"/>
            <c:spPr>
              <a:solidFill>
                <a:srgbClr val="FF0000"/>
              </a:solidFill>
              <a:ln>
                <a:noFill/>
              </a:ln>
              <a:effectLst/>
            </c:spPr>
          </c:dPt>
          <c:cat>
            <c:strRef>
              <c:f>Sheet2!$D$2:$D$6</c:f>
              <c:strCache>
                <c:ptCount val="5"/>
                <c:pt idx="0">
                  <c:v>Fewer than 10</c:v>
                </c:pt>
                <c:pt idx="1">
                  <c:v>10-25</c:v>
                </c:pt>
                <c:pt idx="2">
                  <c:v>More than 25</c:v>
                </c:pt>
                <c:pt idx="3">
                  <c:v>No change</c:v>
                </c:pt>
                <c:pt idx="4">
                  <c:v>Other</c:v>
                </c:pt>
              </c:strCache>
            </c:strRef>
          </c:cat>
          <c:val>
            <c:numRef>
              <c:f>Sheet2!$E$2:$E$6</c:f>
              <c:numCache>
                <c:formatCode>0.00%</c:formatCode>
                <c:ptCount val="5"/>
                <c:pt idx="0">
                  <c:v>0.4103</c:v>
                </c:pt>
                <c:pt idx="1">
                  <c:v>0.2051</c:v>
                </c:pt>
                <c:pt idx="2">
                  <c:v>0.17949999999999999</c:v>
                </c:pt>
                <c:pt idx="3">
                  <c:v>0.17949999999999999</c:v>
                </c:pt>
                <c:pt idx="4">
                  <c:v>2.5600000000000001E-2</c:v>
                </c:pt>
              </c:numCache>
            </c:numRef>
          </c:val>
        </c:ser>
        <c:dLbls>
          <c:showLegendKey val="0"/>
          <c:showVal val="0"/>
          <c:showCatName val="0"/>
          <c:showSerName val="0"/>
          <c:showPercent val="0"/>
          <c:showBubbleSize val="0"/>
        </c:dLbls>
        <c:gapWidth val="182"/>
        <c:axId val="49701992"/>
        <c:axId val="49698464"/>
      </c:barChart>
      <c:catAx>
        <c:axId val="49701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98464"/>
        <c:crosses val="autoZero"/>
        <c:auto val="1"/>
        <c:lblAlgn val="ctr"/>
        <c:lblOffset val="100"/>
        <c:noMultiLvlLbl val="0"/>
      </c:catAx>
      <c:valAx>
        <c:axId val="49698464"/>
        <c:scaling>
          <c:orientation val="minMax"/>
        </c:scaling>
        <c:delete val="0"/>
        <c:axPos val="b"/>
        <c:majorGridlines>
          <c:spPr>
            <a:ln w="9525" cap="flat" cmpd="sng" algn="ctr">
              <a:solidFill>
                <a:schemeClr val="accent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01992"/>
        <c:crosses val="autoZero"/>
        <c:crossBetween val="between"/>
        <c:majorUnit val="0.1"/>
        <c:min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bg1">
                    <a:lumMod val="50000"/>
                  </a:schemeClr>
                </a:solidFill>
                <a:latin typeface="+mn-lt"/>
                <a:ea typeface="+mn-ea"/>
                <a:cs typeface="+mn-cs"/>
              </a:defRPr>
            </a:pPr>
            <a:r>
              <a:rPr lang="en-US" b="1">
                <a:solidFill>
                  <a:schemeClr val="bg1">
                    <a:lumMod val="50000"/>
                  </a:schemeClr>
                </a:solidFill>
              </a:rPr>
              <a:t>Housing Type Needs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bg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Sheet4!$G$19</c:f>
              <c:strCache>
                <c:ptCount val="1"/>
                <c:pt idx="0">
                  <c:v>Short Term Rentals</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Sheet4!$F$20:$F$23</c:f>
              <c:strCache>
                <c:ptCount val="4"/>
                <c:pt idx="0">
                  <c:v>1-25%</c:v>
                </c:pt>
                <c:pt idx="1">
                  <c:v>26-50%</c:v>
                </c:pt>
                <c:pt idx="2">
                  <c:v>51-75%</c:v>
                </c:pt>
                <c:pt idx="3">
                  <c:v>76-100%</c:v>
                </c:pt>
              </c:strCache>
            </c:strRef>
          </c:cat>
          <c:val>
            <c:numRef>
              <c:f>Sheet4!$G$20:$G$23</c:f>
              <c:numCache>
                <c:formatCode>General</c:formatCode>
                <c:ptCount val="4"/>
                <c:pt idx="0">
                  <c:v>2</c:v>
                </c:pt>
                <c:pt idx="1">
                  <c:v>2</c:v>
                </c:pt>
                <c:pt idx="2">
                  <c:v>0</c:v>
                </c:pt>
                <c:pt idx="3">
                  <c:v>1</c:v>
                </c:pt>
              </c:numCache>
            </c:numRef>
          </c:val>
        </c:ser>
        <c:ser>
          <c:idx val="1"/>
          <c:order val="1"/>
          <c:tx>
            <c:strRef>
              <c:f>Sheet4!$H$19</c:f>
              <c:strCache>
                <c:ptCount val="1"/>
                <c:pt idx="0">
                  <c:v>Long Term Rentals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Sheet4!$F$20:$F$23</c:f>
              <c:strCache>
                <c:ptCount val="4"/>
                <c:pt idx="0">
                  <c:v>1-25%</c:v>
                </c:pt>
                <c:pt idx="1">
                  <c:v>26-50%</c:v>
                </c:pt>
                <c:pt idx="2">
                  <c:v>51-75%</c:v>
                </c:pt>
                <c:pt idx="3">
                  <c:v>76-100%</c:v>
                </c:pt>
              </c:strCache>
            </c:strRef>
          </c:cat>
          <c:val>
            <c:numRef>
              <c:f>Sheet4!$H$20:$H$23</c:f>
              <c:numCache>
                <c:formatCode>General</c:formatCode>
                <c:ptCount val="4"/>
                <c:pt idx="0">
                  <c:v>7</c:v>
                </c:pt>
                <c:pt idx="1">
                  <c:v>8</c:v>
                </c:pt>
                <c:pt idx="2">
                  <c:v>5</c:v>
                </c:pt>
                <c:pt idx="3">
                  <c:v>2</c:v>
                </c:pt>
              </c:numCache>
            </c:numRef>
          </c:val>
        </c:ser>
        <c:ser>
          <c:idx val="2"/>
          <c:order val="2"/>
          <c:tx>
            <c:strRef>
              <c:f>Sheet4!$I$19</c:f>
              <c:strCache>
                <c:ptCount val="1"/>
                <c:pt idx="0">
                  <c:v>Homes to Purchase</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Sheet4!$F$20:$F$23</c:f>
              <c:strCache>
                <c:ptCount val="4"/>
                <c:pt idx="0">
                  <c:v>1-25%</c:v>
                </c:pt>
                <c:pt idx="1">
                  <c:v>26-50%</c:v>
                </c:pt>
                <c:pt idx="2">
                  <c:v>51-75%</c:v>
                </c:pt>
                <c:pt idx="3">
                  <c:v>76-100%</c:v>
                </c:pt>
              </c:strCache>
            </c:strRef>
          </c:cat>
          <c:val>
            <c:numRef>
              <c:f>Sheet4!$I$20:$I$23</c:f>
              <c:numCache>
                <c:formatCode>General</c:formatCode>
                <c:ptCount val="4"/>
                <c:pt idx="0">
                  <c:v>4</c:v>
                </c:pt>
                <c:pt idx="1">
                  <c:v>5</c:v>
                </c:pt>
                <c:pt idx="2">
                  <c:v>5</c:v>
                </c:pt>
                <c:pt idx="3">
                  <c:v>5</c:v>
                </c:pt>
              </c:numCache>
            </c:numRef>
          </c:val>
        </c:ser>
        <c:dLbls>
          <c:showLegendKey val="0"/>
          <c:showVal val="0"/>
          <c:showCatName val="0"/>
          <c:showSerName val="0"/>
          <c:showPercent val="0"/>
          <c:showBubbleSize val="0"/>
        </c:dLbls>
        <c:gapWidth val="150"/>
        <c:axId val="425945248"/>
        <c:axId val="425945640"/>
      </c:barChart>
      <c:catAx>
        <c:axId val="42594524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percentage of workforce</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945640"/>
        <c:crosses val="autoZero"/>
        <c:auto val="1"/>
        <c:lblAlgn val="ctr"/>
        <c:lblOffset val="100"/>
        <c:noMultiLvlLbl val="0"/>
      </c:catAx>
      <c:valAx>
        <c:axId val="425945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Number of employers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9452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Experience of employees finding housing in the Carlsbad area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explosion val="5"/>
          <c:dPt>
            <c:idx val="0"/>
            <c:bubble3D val="0"/>
            <c:spPr>
              <a:solidFill>
                <a:srgbClr val="00B0F0"/>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rgbClr val="C00000"/>
              </a:solidFill>
              <a:ln>
                <a:noFill/>
              </a:ln>
              <a:effectLst>
                <a:outerShdw blurRad="254000" sx="102000" sy="102000" algn="ctr" rotWithShape="0">
                  <a:prstClr val="black">
                    <a:alpha val="20000"/>
                  </a:prstClr>
                </a:outerShdw>
              </a:effectLst>
            </c:spPr>
          </c:dPt>
          <c:dPt>
            <c:idx val="3"/>
            <c:bubble3D val="0"/>
            <c:spPr>
              <a:solidFill>
                <a:srgbClr val="540010"/>
              </a:solidFill>
              <a:ln>
                <a:noFill/>
              </a:ln>
              <a:effectLst>
                <a:outerShdw blurRad="254000" sx="102000" sy="102000" algn="ctr" rotWithShape="0">
                  <a:prstClr val="black">
                    <a:alpha val="20000"/>
                  </a:prstClr>
                </a:outerShdw>
              </a:effectLst>
            </c:spPr>
          </c:dPt>
          <c:dPt>
            <c:idx val="4"/>
            <c:bubble3D val="0"/>
            <c:spPr>
              <a:solidFill>
                <a:srgbClr val="FF6600"/>
              </a:solidFill>
              <a:ln>
                <a:noFill/>
              </a:ln>
              <a:effectLst>
                <a:outerShdw blurRad="254000" sx="102000" sy="102000" algn="ctr" rotWithShape="0">
                  <a:prstClr val="black">
                    <a:alpha val="20000"/>
                  </a:prstClr>
                </a:outerShdw>
              </a:effectLst>
            </c:spPr>
          </c:dPt>
          <c:dLbls>
            <c:dLbl>
              <c:idx val="0"/>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'difficult of finding housing'!$A$11:$A$15</c:f>
              <c:strCache>
                <c:ptCount val="5"/>
                <c:pt idx="0">
                  <c:v>Very easy</c:v>
                </c:pt>
                <c:pt idx="1">
                  <c:v>Easy</c:v>
                </c:pt>
                <c:pt idx="2">
                  <c:v>Difficult</c:v>
                </c:pt>
                <c:pt idx="3">
                  <c:v>Very difficult</c:v>
                </c:pt>
                <c:pt idx="4">
                  <c:v>Lack of housing is making it difficult to recruit employees</c:v>
                </c:pt>
              </c:strCache>
            </c:strRef>
          </c:cat>
          <c:val>
            <c:numRef>
              <c:f>'difficult of finding housing'!$B$11:$B$15</c:f>
              <c:numCache>
                <c:formatCode>General</c:formatCode>
                <c:ptCount val="5"/>
                <c:pt idx="0">
                  <c:v>0</c:v>
                </c:pt>
                <c:pt idx="1">
                  <c:v>6</c:v>
                </c:pt>
                <c:pt idx="2">
                  <c:v>20</c:v>
                </c:pt>
                <c:pt idx="3">
                  <c:v>7</c:v>
                </c:pt>
                <c:pt idx="4">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ln>
                <a:noFill/>
              </a:ln>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106-2F82-4DE1-A15E-9CF6BCE6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8</cp:revision>
  <cp:lastPrinted>2018-01-04T20:09:00Z</cp:lastPrinted>
  <dcterms:created xsi:type="dcterms:W3CDTF">2017-12-06T23:39:00Z</dcterms:created>
  <dcterms:modified xsi:type="dcterms:W3CDTF">2018-01-04T22:27:00Z</dcterms:modified>
</cp:coreProperties>
</file>